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2FD1" w14:textId="7F6028BA" w:rsidR="00AA08BE" w:rsidRDefault="004076B6" w:rsidP="004076B6">
      <w:r>
        <w:rPr>
          <w:noProof/>
          <w:sz w:val="20"/>
          <w:szCs w:val="20"/>
          <w:lang w:val="en-GB" w:eastAsia="zh-CN"/>
        </w:rPr>
        <w:drawing>
          <wp:anchor distT="0" distB="0" distL="114300" distR="114300" simplePos="0" relativeHeight="251660288" behindDoc="1" locked="0" layoutInCell="1" allowOverlap="1" wp14:anchorId="6EE563B3" wp14:editId="61C04D20">
            <wp:simplePos x="0" y="0"/>
            <wp:positionH relativeFrom="column">
              <wp:posOffset>5600700</wp:posOffset>
            </wp:positionH>
            <wp:positionV relativeFrom="paragraph">
              <wp:posOffset>-114300</wp:posOffset>
            </wp:positionV>
            <wp:extent cx="730885" cy="1487805"/>
            <wp:effectExtent l="0" t="0" r="5715" b="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GF Logo.jpg"/>
                    <pic:cNvPicPr/>
                  </pic:nvPicPr>
                  <pic:blipFill>
                    <a:blip r:embed="rId7">
                      <a:extLst>
                        <a:ext uri="{28A0092B-C50C-407E-A947-70E740481C1C}">
                          <a14:useLocalDpi xmlns:a14="http://schemas.microsoft.com/office/drawing/2010/main" val="0"/>
                        </a:ext>
                      </a:extLst>
                    </a:blip>
                    <a:stretch>
                      <a:fillRect/>
                    </a:stretch>
                  </pic:blipFill>
                  <pic:spPr>
                    <a:xfrm>
                      <a:off x="0" y="0"/>
                      <a:ext cx="730885" cy="1487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02B5A">
        <w:rPr>
          <w:noProof/>
          <w:lang w:val="en-GB" w:eastAsia="zh-CN"/>
        </w:rPr>
        <w:drawing>
          <wp:anchor distT="0" distB="0" distL="114300" distR="114300" simplePos="0" relativeHeight="251661312" behindDoc="1" locked="0" layoutInCell="1" allowOverlap="1" wp14:anchorId="69B3D955" wp14:editId="27076527">
            <wp:simplePos x="0" y="0"/>
            <wp:positionH relativeFrom="column">
              <wp:posOffset>-228600</wp:posOffset>
            </wp:positionH>
            <wp:positionV relativeFrom="paragraph">
              <wp:posOffset>-114300</wp:posOffset>
            </wp:positionV>
            <wp:extent cx="2053590" cy="69342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f-logo.jpg"/>
                    <pic:cNvPicPr/>
                  </pic:nvPicPr>
                  <pic:blipFill>
                    <a:blip r:embed="rId8">
                      <a:extLst>
                        <a:ext uri="{28A0092B-C50C-407E-A947-70E740481C1C}">
                          <a14:useLocalDpi xmlns:a14="http://schemas.microsoft.com/office/drawing/2010/main" val="0"/>
                        </a:ext>
                      </a:extLst>
                    </a:blip>
                    <a:stretch>
                      <a:fillRect/>
                    </a:stretch>
                  </pic:blipFill>
                  <pic:spPr>
                    <a:xfrm>
                      <a:off x="0" y="0"/>
                      <a:ext cx="2053590" cy="693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F151A7" w14:textId="084CA86B" w:rsidR="00AA08BE" w:rsidRDefault="00702B5A" w:rsidP="003A1413">
      <w:pPr>
        <w:pStyle w:val="Heading1"/>
      </w:pPr>
      <w:r w:rsidRPr="005749D7">
        <w:t>IGF 2014</w:t>
      </w:r>
    </w:p>
    <w:p w14:paraId="2B6E2BE4" w14:textId="77777777" w:rsidR="00315D85" w:rsidRPr="005749D7" w:rsidRDefault="00315D85" w:rsidP="003A1413">
      <w:pPr>
        <w:pStyle w:val="Heading1"/>
        <w:spacing w:before="0" w:beforeAutospacing="0"/>
      </w:pPr>
      <w:r>
        <w:t>Chair’s S</w:t>
      </w:r>
      <w:r w:rsidRPr="005749D7">
        <w:t xml:space="preserve">ummary  </w:t>
      </w:r>
    </w:p>
    <w:p w14:paraId="78821AC4" w14:textId="77777777" w:rsidR="00315D85" w:rsidRPr="00315D85" w:rsidRDefault="00315D85" w:rsidP="00315D85">
      <w:pPr>
        <w:jc w:val="center"/>
        <w:rPr>
          <w:rFonts w:ascii="Times" w:hAnsi="Times" w:cs="Times New Roman"/>
          <w:sz w:val="20"/>
          <w:szCs w:val="20"/>
          <w:lang w:val="en-AU"/>
        </w:rPr>
      </w:pPr>
      <w:r w:rsidRPr="00315D85">
        <w:rPr>
          <w:lang w:val="en-AU"/>
        </w:rPr>
        <w:t>[Draft, 13:30 UTC+3, 5 September 2014]</w:t>
      </w:r>
    </w:p>
    <w:p w14:paraId="7FE5C7DD" w14:textId="77777777" w:rsidR="005749D7" w:rsidRPr="003A1413" w:rsidRDefault="005749D7" w:rsidP="00315D85">
      <w:pPr>
        <w:rPr>
          <w:b/>
          <w:sz w:val="16"/>
          <w:szCs w:val="16"/>
        </w:rPr>
      </w:pPr>
    </w:p>
    <w:p w14:paraId="59915423" w14:textId="06B94FDA" w:rsidR="00041393" w:rsidRPr="005749D7" w:rsidRDefault="00AA08BE" w:rsidP="00AA08BE">
      <w:pPr>
        <w:jc w:val="center"/>
        <w:rPr>
          <w:b/>
        </w:rPr>
      </w:pPr>
      <w:r w:rsidRPr="005749D7">
        <w:rPr>
          <w:b/>
        </w:rPr>
        <w:t xml:space="preserve">Connecting Continents for Enhanced </w:t>
      </w:r>
      <w:proofErr w:type="spellStart"/>
      <w:r w:rsidRPr="005749D7">
        <w:rPr>
          <w:b/>
        </w:rPr>
        <w:t>Multistakeholder</w:t>
      </w:r>
      <w:proofErr w:type="spellEnd"/>
      <w:r w:rsidRPr="005749D7">
        <w:rPr>
          <w:b/>
        </w:rPr>
        <w:t xml:space="preserve"> Internet Governance</w:t>
      </w:r>
      <w:r w:rsidR="00702B5A" w:rsidRPr="005749D7">
        <w:rPr>
          <w:b/>
        </w:rPr>
        <w:t xml:space="preserve"> </w:t>
      </w:r>
    </w:p>
    <w:p w14:paraId="7C9B594D" w14:textId="77777777" w:rsidR="00702B5A" w:rsidRDefault="00702B5A" w:rsidP="00F926BA">
      <w:pPr>
        <w:jc w:val="center"/>
        <w:rPr>
          <w:rFonts w:ascii="Arial" w:hAnsi="Arial" w:cs="Arial"/>
          <w:i/>
          <w:iCs/>
          <w:color w:val="000000"/>
          <w:sz w:val="23"/>
          <w:szCs w:val="23"/>
          <w:lang w:val="en-AU"/>
        </w:rPr>
      </w:pPr>
    </w:p>
    <w:p w14:paraId="6EBDECE2" w14:textId="495362E3" w:rsidR="00041393" w:rsidRPr="00315D85" w:rsidRDefault="00F926BA" w:rsidP="00F926BA">
      <w:pPr>
        <w:jc w:val="center"/>
        <w:rPr>
          <w:i/>
          <w:lang w:val="en-AU"/>
        </w:rPr>
      </w:pPr>
      <w:r w:rsidRPr="00315D85">
        <w:rPr>
          <w:i/>
          <w:lang w:val="en-AU"/>
        </w:rPr>
        <w:t xml:space="preserve">  •  </w:t>
      </w:r>
      <w:r w:rsidR="00041393" w:rsidRPr="00315D85">
        <w:rPr>
          <w:i/>
          <w:lang w:val="en-AU"/>
        </w:rPr>
        <w:t>2-5 September 2014, Istanbul, Turkey</w:t>
      </w:r>
      <w:r w:rsidRPr="00315D85">
        <w:rPr>
          <w:i/>
          <w:lang w:val="en-AU"/>
        </w:rPr>
        <w:t xml:space="preserve">  •</w:t>
      </w:r>
    </w:p>
    <w:p w14:paraId="07359B82" w14:textId="77777777" w:rsidR="00702B5A" w:rsidRDefault="00702B5A" w:rsidP="003A1413">
      <w:pPr>
        <w:rPr>
          <w:rFonts w:ascii="Arial" w:hAnsi="Arial" w:cs="Arial"/>
          <w:i/>
          <w:iCs/>
          <w:color w:val="000000"/>
          <w:sz w:val="23"/>
          <w:szCs w:val="23"/>
          <w:lang w:val="en-AU"/>
        </w:rPr>
      </w:pPr>
    </w:p>
    <w:p w14:paraId="2E9B7204" w14:textId="77777777" w:rsidR="00702B5A" w:rsidRPr="00041393" w:rsidRDefault="00702B5A" w:rsidP="00D3340E">
      <w:pPr>
        <w:pStyle w:val="Heading2"/>
        <w:rPr>
          <w:sz w:val="48"/>
          <w:szCs w:val="48"/>
        </w:rPr>
      </w:pPr>
      <w:r>
        <w:t>The R</w:t>
      </w:r>
      <w:r w:rsidRPr="00041393">
        <w:t>oad to IGF 2014</w:t>
      </w:r>
    </w:p>
    <w:p w14:paraId="358F60C4" w14:textId="1934DF69" w:rsidR="00F64DB7" w:rsidRPr="00F64DB7" w:rsidRDefault="00F64DB7" w:rsidP="00F64DB7">
      <w:pPr>
        <w:rPr>
          <w:rFonts w:ascii="Times" w:hAnsi="Times" w:cs="Times New Roman"/>
          <w:sz w:val="20"/>
          <w:szCs w:val="20"/>
          <w:lang w:val="en-AU"/>
        </w:rPr>
      </w:pPr>
      <w:r w:rsidRPr="00F64DB7">
        <w:rPr>
          <w:rFonts w:cs="Times New Roman"/>
          <w:color w:val="000000"/>
          <w:lang w:val="en-AU"/>
        </w:rPr>
        <w:t>2014 has been an important year for the future of international Internet and Information and Communication Technologies (ICT) policy, with a large number of high-level meetings and significant developments emerging throughout the year. With the WSIS Tunis Agenda having given the IGF the mandate to discuss emerging Internet governance issues, IGF 2014 has been able to play a role in facilita</w:t>
      </w:r>
      <w:r w:rsidR="00315D85">
        <w:rPr>
          <w:rFonts w:cs="Times New Roman"/>
          <w:color w:val="000000"/>
          <w:lang w:val="en-AU"/>
        </w:rPr>
        <w:t>ting timely policy debates at a</w:t>
      </w:r>
      <w:r w:rsidRPr="00F64DB7">
        <w:rPr>
          <w:rFonts w:cs="Times New Roman"/>
          <w:color w:val="000000"/>
          <w:lang w:val="en-AU"/>
        </w:rPr>
        <w:t xml:space="preserve"> key moment in the Internet governance landscape</w:t>
      </w:r>
      <w:r w:rsidR="008731CF">
        <w:rPr>
          <w:rFonts w:cs="Times New Roman"/>
          <w:color w:val="000000"/>
          <w:lang w:val="en-AU"/>
        </w:rPr>
        <w:t>.</w:t>
      </w:r>
    </w:p>
    <w:p w14:paraId="587FFD9E" w14:textId="77777777" w:rsidR="00F64DB7" w:rsidRPr="00F64DB7" w:rsidRDefault="00F64DB7" w:rsidP="00F64DB7">
      <w:pPr>
        <w:rPr>
          <w:rFonts w:ascii="Times" w:eastAsia="Times New Roman" w:hAnsi="Times" w:cs="Times New Roman"/>
          <w:sz w:val="20"/>
          <w:szCs w:val="20"/>
          <w:lang w:val="en-AU"/>
        </w:rPr>
      </w:pPr>
    </w:p>
    <w:p w14:paraId="4B438E19" w14:textId="77777777" w:rsidR="00315D85" w:rsidRDefault="00315D85" w:rsidP="00F64DB7">
      <w:pPr>
        <w:rPr>
          <w:rFonts w:cs="Times New Roman"/>
          <w:b/>
          <w:bCs/>
          <w:color w:val="000000"/>
          <w:lang w:val="en-AU"/>
        </w:rPr>
        <w:sectPr w:rsidR="00315D85" w:rsidSect="00041393">
          <w:pgSz w:w="11900" w:h="16840"/>
          <w:pgMar w:top="1134" w:right="1134" w:bottom="1134" w:left="1134" w:header="709" w:footer="709" w:gutter="0"/>
          <w:cols w:space="708"/>
          <w:docGrid w:linePitch="360"/>
        </w:sectPr>
      </w:pPr>
    </w:p>
    <w:p w14:paraId="41317C00" w14:textId="6CBA89C0" w:rsidR="00F64DB7" w:rsidRDefault="00F64DB7" w:rsidP="00315D85">
      <w:pPr>
        <w:tabs>
          <w:tab w:val="left" w:pos="8647"/>
        </w:tabs>
        <w:ind w:left="567" w:right="567"/>
        <w:rPr>
          <w:rFonts w:cs="Times New Roman"/>
          <w:b/>
          <w:bCs/>
          <w:color w:val="000000"/>
          <w:lang w:val="en-AU"/>
        </w:rPr>
      </w:pPr>
      <w:r w:rsidRPr="00F64DB7">
        <w:rPr>
          <w:rFonts w:cs="Times New Roman"/>
          <w:b/>
          <w:bCs/>
          <w:color w:val="000000"/>
          <w:lang w:val="en-AU"/>
        </w:rPr>
        <w:lastRenderedPageBreak/>
        <w:t>Key Facts:</w:t>
      </w:r>
    </w:p>
    <w:p w14:paraId="156C21E2" w14:textId="77777777" w:rsidR="005749D7" w:rsidRPr="00F64DB7" w:rsidRDefault="005749D7" w:rsidP="00315D85">
      <w:pPr>
        <w:tabs>
          <w:tab w:val="left" w:pos="8647"/>
        </w:tabs>
        <w:ind w:left="567" w:right="567"/>
        <w:rPr>
          <w:rFonts w:ascii="Times" w:hAnsi="Times" w:cs="Times New Roman"/>
          <w:sz w:val="20"/>
          <w:szCs w:val="20"/>
          <w:lang w:val="en-AU"/>
        </w:rPr>
      </w:pPr>
    </w:p>
    <w:p w14:paraId="226EF188" w14:textId="77777777" w:rsidR="00F64DB7" w:rsidRPr="00F64DB7" w:rsidRDefault="00F64DB7" w:rsidP="00315D85">
      <w:pPr>
        <w:numPr>
          <w:ilvl w:val="0"/>
          <w:numId w:val="15"/>
        </w:numPr>
        <w:shd w:val="clear" w:color="auto" w:fill="FFFFFF"/>
        <w:tabs>
          <w:tab w:val="left" w:pos="8647"/>
        </w:tabs>
        <w:ind w:left="993" w:right="985"/>
        <w:textAlignment w:val="baseline"/>
        <w:rPr>
          <w:rFonts w:cs="Times New Roman"/>
          <w:color w:val="000000"/>
          <w:lang w:val="en-AU"/>
        </w:rPr>
      </w:pPr>
      <w:r w:rsidRPr="00F64DB7">
        <w:rPr>
          <w:rFonts w:cs="Times New Roman"/>
          <w:color w:val="000000"/>
          <w:lang w:val="en-AU"/>
        </w:rPr>
        <w:t>The preparatory work of the IGF 2014 was guided by the recommendations of the Commission for Science and Technology for Development (CSTD) Working Group on Improvements to the Internet Governance Forum that were recognized by the United Nations General Assembly in December 2013.</w:t>
      </w:r>
    </w:p>
    <w:p w14:paraId="1534A69B" w14:textId="77777777" w:rsidR="00F64DB7" w:rsidRPr="00F64DB7" w:rsidRDefault="00F64DB7" w:rsidP="00315D85">
      <w:pPr>
        <w:numPr>
          <w:ilvl w:val="0"/>
          <w:numId w:val="15"/>
        </w:numPr>
        <w:shd w:val="clear" w:color="auto" w:fill="FFFFFF"/>
        <w:tabs>
          <w:tab w:val="left" w:pos="8647"/>
        </w:tabs>
        <w:ind w:left="993" w:right="985"/>
        <w:textAlignment w:val="baseline"/>
        <w:rPr>
          <w:rFonts w:cs="Times New Roman"/>
          <w:color w:val="000000"/>
          <w:lang w:val="en-AU"/>
        </w:rPr>
      </w:pPr>
      <w:r w:rsidRPr="00F64DB7">
        <w:rPr>
          <w:rFonts w:cs="Times New Roman"/>
          <w:color w:val="000000"/>
          <w:shd w:val="clear" w:color="auto" w:fill="FFFFFF"/>
          <w:lang w:val="en-AU"/>
        </w:rPr>
        <w:t xml:space="preserve">The IGF </w:t>
      </w:r>
      <w:proofErr w:type="spellStart"/>
      <w:r w:rsidRPr="00F64DB7">
        <w:rPr>
          <w:rFonts w:cs="Times New Roman"/>
          <w:color w:val="000000"/>
          <w:shd w:val="clear" w:color="auto" w:fill="FFFFFF"/>
          <w:lang w:val="en-AU"/>
        </w:rPr>
        <w:t>Multistakeholder</w:t>
      </w:r>
      <w:proofErr w:type="spellEnd"/>
      <w:r w:rsidRPr="00F64DB7">
        <w:rPr>
          <w:rFonts w:cs="Times New Roman"/>
          <w:color w:val="000000"/>
          <w:shd w:val="clear" w:color="auto" w:fill="FFFFFF"/>
          <w:lang w:val="en-AU"/>
        </w:rPr>
        <w:t xml:space="preserve"> Advisory Group (MAG) held two open consultations and nine online meetings. Minutes of the all MAG meetings are available online.</w:t>
      </w:r>
    </w:p>
    <w:p w14:paraId="1FE844A1" w14:textId="6177EB2A" w:rsidR="00F64DB7" w:rsidRPr="00F64DB7" w:rsidRDefault="008731CF" w:rsidP="00315D85">
      <w:pPr>
        <w:numPr>
          <w:ilvl w:val="0"/>
          <w:numId w:val="15"/>
        </w:numPr>
        <w:shd w:val="clear" w:color="auto" w:fill="FFFFFF"/>
        <w:tabs>
          <w:tab w:val="left" w:pos="8647"/>
        </w:tabs>
        <w:ind w:left="993" w:right="985"/>
        <w:textAlignment w:val="baseline"/>
        <w:rPr>
          <w:rFonts w:cs="Times New Roman"/>
          <w:color w:val="000000"/>
          <w:lang w:val="en-AU"/>
        </w:rPr>
      </w:pPr>
      <w:r>
        <w:rPr>
          <w:rFonts w:cs="Times New Roman"/>
          <w:color w:val="000000"/>
          <w:shd w:val="clear" w:color="auto" w:fill="FFFFFF"/>
          <w:lang w:val="en-AU"/>
        </w:rPr>
        <w:t>The community submitted 208</w:t>
      </w:r>
      <w:r w:rsidR="00F64DB7" w:rsidRPr="00F64DB7">
        <w:rPr>
          <w:rFonts w:cs="Times New Roman"/>
          <w:color w:val="000000"/>
          <w:shd w:val="clear" w:color="auto" w:fill="FFFFFF"/>
          <w:lang w:val="en-AU"/>
        </w:rPr>
        <w:t xml:space="preserve"> workshop proposals, which were examined and rated according to criteria developed and published by the MAG.</w:t>
      </w:r>
    </w:p>
    <w:p w14:paraId="548EF569" w14:textId="77777777" w:rsidR="00F64DB7" w:rsidRDefault="00F64DB7" w:rsidP="00315D85">
      <w:pPr>
        <w:tabs>
          <w:tab w:val="left" w:pos="8647"/>
        </w:tabs>
        <w:ind w:left="567" w:right="567"/>
        <w:rPr>
          <w:rFonts w:cs="Times New Roman"/>
          <w:color w:val="000000"/>
          <w:shd w:val="clear" w:color="auto" w:fill="FFFFFF"/>
          <w:lang w:val="en-AU"/>
        </w:rPr>
      </w:pPr>
    </w:p>
    <w:p w14:paraId="2C9D906F" w14:textId="77777777" w:rsidR="00F64DB7" w:rsidRPr="00F64DB7" w:rsidRDefault="00F64DB7" w:rsidP="00315D85">
      <w:pPr>
        <w:tabs>
          <w:tab w:val="left" w:pos="8647"/>
        </w:tabs>
        <w:ind w:left="567" w:right="567"/>
        <w:rPr>
          <w:rFonts w:ascii="Times" w:hAnsi="Times" w:cs="Times New Roman"/>
          <w:b/>
          <w:sz w:val="20"/>
          <w:szCs w:val="20"/>
          <w:lang w:val="en-AU"/>
        </w:rPr>
      </w:pPr>
      <w:r w:rsidRPr="00F64DB7">
        <w:rPr>
          <w:rFonts w:cs="Times New Roman"/>
          <w:b/>
          <w:color w:val="000000"/>
          <w:shd w:val="clear" w:color="auto" w:fill="FFFFFF"/>
          <w:lang w:val="en-AU"/>
        </w:rPr>
        <w:t xml:space="preserve">Innovations in programming to this year’s IGF include: </w:t>
      </w:r>
    </w:p>
    <w:p w14:paraId="33BAB1CA" w14:textId="77777777" w:rsidR="00F64DB7" w:rsidRPr="00F64DB7" w:rsidRDefault="00F64DB7" w:rsidP="00315D85">
      <w:pPr>
        <w:tabs>
          <w:tab w:val="left" w:pos="8647"/>
        </w:tabs>
        <w:ind w:left="567" w:right="567"/>
        <w:rPr>
          <w:rFonts w:ascii="Times" w:eastAsia="Times New Roman" w:hAnsi="Times" w:cs="Times New Roman"/>
          <w:sz w:val="20"/>
          <w:szCs w:val="20"/>
          <w:lang w:val="en-AU"/>
        </w:rPr>
      </w:pPr>
    </w:p>
    <w:p w14:paraId="25434C4E" w14:textId="2FB60766" w:rsidR="00F64DB7" w:rsidRPr="00F64DB7" w:rsidRDefault="00F64DB7" w:rsidP="00315D85">
      <w:pPr>
        <w:numPr>
          <w:ilvl w:val="0"/>
          <w:numId w:val="16"/>
        </w:numPr>
        <w:shd w:val="clear" w:color="auto" w:fill="FFFFFF"/>
        <w:tabs>
          <w:tab w:val="left" w:pos="8364"/>
        </w:tabs>
        <w:ind w:left="993" w:right="985"/>
        <w:textAlignment w:val="baseline"/>
        <w:rPr>
          <w:rFonts w:cs="Times New Roman"/>
          <w:color w:val="000000"/>
          <w:lang w:val="en-AU"/>
        </w:rPr>
      </w:pPr>
      <w:r>
        <w:rPr>
          <w:rFonts w:eastAsia="Times New Roman" w:cs="Times New Roman"/>
          <w:color w:val="000000"/>
          <w:shd w:val="clear" w:color="auto" w:fill="FFFFFF"/>
        </w:rPr>
        <w:t>A call for inputs from the community from the MAG Chair was made to collect inputs on actions taken by stakeholders as a res</w:t>
      </w:r>
      <w:r w:rsidR="008731CF">
        <w:rPr>
          <w:rFonts w:eastAsia="Times New Roman" w:cs="Times New Roman"/>
          <w:color w:val="000000"/>
          <w:shd w:val="clear" w:color="auto" w:fill="FFFFFF"/>
        </w:rPr>
        <w:t>ult of participation at the IGF</w:t>
      </w:r>
      <w:r>
        <w:rPr>
          <w:rFonts w:eastAsia="Times New Roman" w:cs="Times New Roman"/>
          <w:color w:val="000000"/>
          <w:shd w:val="clear" w:color="auto" w:fill="FFFFFF"/>
        </w:rPr>
        <w:t xml:space="preserve">  </w:t>
      </w:r>
    </w:p>
    <w:p w14:paraId="60BE4256" w14:textId="21D30908" w:rsidR="00F64DB7" w:rsidRPr="00F64DB7" w:rsidRDefault="00F64DB7" w:rsidP="00315D85">
      <w:pPr>
        <w:numPr>
          <w:ilvl w:val="0"/>
          <w:numId w:val="16"/>
        </w:numPr>
        <w:shd w:val="clear" w:color="auto" w:fill="FFFFFF"/>
        <w:tabs>
          <w:tab w:val="left" w:pos="8364"/>
        </w:tabs>
        <w:ind w:left="993" w:right="985"/>
        <w:textAlignment w:val="baseline"/>
        <w:rPr>
          <w:rFonts w:cs="Times New Roman"/>
          <w:color w:val="000000"/>
          <w:lang w:val="en-AU"/>
        </w:rPr>
      </w:pPr>
      <w:r w:rsidRPr="00F64DB7">
        <w:rPr>
          <w:rFonts w:cs="Times New Roman"/>
          <w:color w:val="000000"/>
          <w:shd w:val="clear" w:color="auto" w:fill="FFFFFF"/>
          <w:lang w:val="en-AU"/>
        </w:rPr>
        <w:t>Five best practice forums</w:t>
      </w:r>
    </w:p>
    <w:p w14:paraId="7E03C10B" w14:textId="77777777" w:rsidR="00F64DB7" w:rsidRPr="00F64DB7" w:rsidRDefault="00F64DB7" w:rsidP="00315D85">
      <w:pPr>
        <w:numPr>
          <w:ilvl w:val="0"/>
          <w:numId w:val="16"/>
        </w:numPr>
        <w:shd w:val="clear" w:color="auto" w:fill="FFFFFF"/>
        <w:tabs>
          <w:tab w:val="left" w:pos="8364"/>
        </w:tabs>
        <w:ind w:left="993" w:right="985"/>
        <w:textAlignment w:val="baseline"/>
        <w:rPr>
          <w:rFonts w:cs="Times New Roman"/>
          <w:color w:val="000000"/>
          <w:lang w:val="en-AU"/>
        </w:rPr>
      </w:pPr>
      <w:r w:rsidRPr="00F64DB7">
        <w:rPr>
          <w:rFonts w:cs="Times New Roman"/>
          <w:color w:val="000000"/>
          <w:shd w:val="clear" w:color="auto" w:fill="FFFFFF"/>
          <w:lang w:val="en-AU"/>
        </w:rPr>
        <w:t xml:space="preserve">Chair’s report to suggest </w:t>
      </w:r>
      <w:proofErr w:type="spellStart"/>
      <w:r w:rsidRPr="00F64DB7">
        <w:rPr>
          <w:rFonts w:cs="Times New Roman"/>
          <w:color w:val="000000"/>
          <w:shd w:val="clear" w:color="auto" w:fill="FFFFFF"/>
          <w:lang w:val="en-AU"/>
        </w:rPr>
        <w:t>intersessional</w:t>
      </w:r>
      <w:proofErr w:type="spellEnd"/>
      <w:r w:rsidRPr="00F64DB7">
        <w:rPr>
          <w:rFonts w:cs="Times New Roman"/>
          <w:color w:val="000000"/>
          <w:shd w:val="clear" w:color="auto" w:fill="FFFFFF"/>
          <w:lang w:val="en-AU"/>
        </w:rPr>
        <w:t xml:space="preserve"> work modalities </w:t>
      </w:r>
    </w:p>
    <w:p w14:paraId="7111C119" w14:textId="77777777" w:rsidR="00F64DB7" w:rsidRPr="00F64DB7" w:rsidRDefault="00F64DB7" w:rsidP="00315D85">
      <w:pPr>
        <w:tabs>
          <w:tab w:val="left" w:pos="8647"/>
        </w:tabs>
        <w:ind w:left="567" w:right="567"/>
        <w:rPr>
          <w:rFonts w:ascii="Times" w:eastAsia="Times New Roman" w:hAnsi="Times" w:cs="Times New Roman"/>
          <w:sz w:val="20"/>
          <w:szCs w:val="20"/>
          <w:lang w:val="en-AU"/>
        </w:rPr>
      </w:pPr>
    </w:p>
    <w:p w14:paraId="5129D0E5" w14:textId="77777777" w:rsidR="00F64DB7" w:rsidRPr="00F64DB7" w:rsidRDefault="00F64DB7" w:rsidP="00315D85">
      <w:pPr>
        <w:tabs>
          <w:tab w:val="left" w:pos="8647"/>
        </w:tabs>
        <w:ind w:left="567" w:right="567"/>
        <w:rPr>
          <w:rFonts w:ascii="Times" w:hAnsi="Times" w:cs="Times New Roman"/>
          <w:b/>
          <w:sz w:val="20"/>
          <w:szCs w:val="20"/>
          <w:lang w:val="en-AU"/>
        </w:rPr>
      </w:pPr>
      <w:r w:rsidRPr="00F64DB7">
        <w:rPr>
          <w:rFonts w:cs="Times New Roman"/>
          <w:b/>
          <w:color w:val="000000"/>
          <w:shd w:val="clear" w:color="auto" w:fill="FFFFFF"/>
          <w:lang w:val="en-AU"/>
        </w:rPr>
        <w:t>Program highlights include:</w:t>
      </w:r>
    </w:p>
    <w:p w14:paraId="4C3FC1EC" w14:textId="77777777" w:rsidR="00F64DB7" w:rsidRPr="00F64DB7" w:rsidRDefault="00F64DB7" w:rsidP="00315D85">
      <w:pPr>
        <w:tabs>
          <w:tab w:val="left" w:pos="8647"/>
        </w:tabs>
        <w:ind w:left="567" w:right="567"/>
        <w:rPr>
          <w:rFonts w:ascii="Times" w:eastAsia="Times New Roman" w:hAnsi="Times" w:cs="Times New Roman"/>
          <w:sz w:val="20"/>
          <w:szCs w:val="20"/>
          <w:lang w:val="en-AU"/>
        </w:rPr>
      </w:pPr>
    </w:p>
    <w:p w14:paraId="44FF67AE" w14:textId="0B842211" w:rsidR="00F64DB7" w:rsidRPr="00F64DB7" w:rsidRDefault="00F64DB7" w:rsidP="00315D85">
      <w:pPr>
        <w:numPr>
          <w:ilvl w:val="0"/>
          <w:numId w:val="17"/>
        </w:numPr>
        <w:shd w:val="clear" w:color="auto" w:fill="FFFFFF"/>
        <w:tabs>
          <w:tab w:val="left" w:pos="8647"/>
        </w:tabs>
        <w:ind w:left="993" w:right="985"/>
        <w:textAlignment w:val="baseline"/>
        <w:rPr>
          <w:rFonts w:cs="Times New Roman"/>
          <w:color w:val="000000"/>
          <w:lang w:val="en-AU"/>
        </w:rPr>
      </w:pPr>
      <w:r w:rsidRPr="00F64DB7">
        <w:rPr>
          <w:rFonts w:cs="Times New Roman"/>
          <w:color w:val="000000"/>
          <w:shd w:val="clear" w:color="auto" w:fill="FFFFFF"/>
          <w:lang w:val="en-AU"/>
        </w:rPr>
        <w:t xml:space="preserve">Net Neutrality main session - organized in response to </w:t>
      </w:r>
      <w:r>
        <w:rPr>
          <w:rFonts w:cs="Times New Roman"/>
          <w:color w:val="000000"/>
          <w:shd w:val="clear" w:color="auto" w:fill="FFFFFF"/>
          <w:lang w:val="en-AU"/>
        </w:rPr>
        <w:t xml:space="preserve">the invitation by </w:t>
      </w:r>
      <w:proofErr w:type="spellStart"/>
      <w:r>
        <w:rPr>
          <w:rFonts w:cs="Times New Roman"/>
          <w:color w:val="000000"/>
          <w:shd w:val="clear" w:color="auto" w:fill="FFFFFF"/>
          <w:lang w:val="en-AU"/>
        </w:rPr>
        <w:t>NET</w:t>
      </w:r>
      <w:r w:rsidRPr="00F64DB7">
        <w:rPr>
          <w:rFonts w:cs="Times New Roman"/>
          <w:color w:val="000000"/>
          <w:shd w:val="clear" w:color="auto" w:fill="FFFFFF"/>
          <w:lang w:val="en-AU"/>
        </w:rPr>
        <w:t>mundial</w:t>
      </w:r>
      <w:proofErr w:type="spellEnd"/>
    </w:p>
    <w:p w14:paraId="15395C19" w14:textId="19A9290E" w:rsidR="00F64DB7" w:rsidRPr="00F64DB7" w:rsidRDefault="00F64DB7" w:rsidP="00315D85">
      <w:pPr>
        <w:numPr>
          <w:ilvl w:val="0"/>
          <w:numId w:val="17"/>
        </w:numPr>
        <w:shd w:val="clear" w:color="auto" w:fill="FFFFFF"/>
        <w:tabs>
          <w:tab w:val="left" w:pos="8647"/>
        </w:tabs>
        <w:ind w:left="993" w:right="985"/>
        <w:textAlignment w:val="baseline"/>
        <w:rPr>
          <w:rFonts w:cs="Times New Roman"/>
          <w:color w:val="000000"/>
          <w:lang w:val="en-AU"/>
        </w:rPr>
      </w:pPr>
      <w:r w:rsidRPr="00F64DB7">
        <w:rPr>
          <w:rFonts w:cs="Times New Roman"/>
          <w:color w:val="000000"/>
          <w:shd w:val="clear" w:color="auto" w:fill="FFFFFF"/>
          <w:lang w:val="en-AU"/>
        </w:rPr>
        <w:t>A debate on the Internet Assigned Numbers Authorit</w:t>
      </w:r>
      <w:r w:rsidR="00315D85">
        <w:rPr>
          <w:rFonts w:cs="Times New Roman"/>
          <w:color w:val="000000"/>
          <w:shd w:val="clear" w:color="auto" w:fill="FFFFFF"/>
          <w:lang w:val="en-AU"/>
        </w:rPr>
        <w:t>y (IANA) transition stewardship</w:t>
      </w:r>
      <w:r w:rsidRPr="00F64DB7">
        <w:rPr>
          <w:rFonts w:cs="Times New Roman"/>
          <w:color w:val="000000"/>
          <w:shd w:val="clear" w:color="auto" w:fill="FFFFFF"/>
          <w:lang w:val="en-AU"/>
        </w:rPr>
        <w:t xml:space="preserve"> - </w:t>
      </w:r>
      <w:r>
        <w:rPr>
          <w:rFonts w:cs="Times New Roman"/>
          <w:color w:val="000000"/>
          <w:shd w:val="clear" w:color="auto" w:fill="FFFFFF"/>
          <w:lang w:val="en-AU"/>
        </w:rPr>
        <w:t xml:space="preserve">organized to gather inputs from a wide range of </w:t>
      </w:r>
      <w:r w:rsidRPr="00F64DB7">
        <w:rPr>
          <w:rFonts w:cs="Times New Roman"/>
          <w:color w:val="000000"/>
          <w:shd w:val="clear" w:color="auto" w:fill="FFFFFF"/>
          <w:lang w:val="en-AU"/>
        </w:rPr>
        <w:t>Internet governance community</w:t>
      </w:r>
      <w:r>
        <w:rPr>
          <w:rFonts w:cs="Times New Roman"/>
          <w:color w:val="000000"/>
          <w:shd w:val="clear" w:color="auto" w:fill="FFFFFF"/>
          <w:lang w:val="en-AU"/>
        </w:rPr>
        <w:t xml:space="preserve"> members</w:t>
      </w:r>
      <w:r w:rsidRPr="00F64DB7">
        <w:rPr>
          <w:rFonts w:cs="Times New Roman"/>
          <w:color w:val="000000"/>
          <w:shd w:val="clear" w:color="auto" w:fill="FFFFFF"/>
          <w:lang w:val="en-AU"/>
        </w:rPr>
        <w:t xml:space="preserve"> </w:t>
      </w:r>
      <w:r>
        <w:rPr>
          <w:rFonts w:cs="Times New Roman"/>
          <w:color w:val="000000"/>
          <w:shd w:val="clear" w:color="auto" w:fill="FFFFFF"/>
          <w:lang w:val="en-AU"/>
        </w:rPr>
        <w:t>on the process for replacing the current stewardship arrangement</w:t>
      </w:r>
    </w:p>
    <w:p w14:paraId="530F09BB" w14:textId="77777777" w:rsidR="00315D85" w:rsidRDefault="00315D85" w:rsidP="00315D85">
      <w:pPr>
        <w:tabs>
          <w:tab w:val="left" w:pos="8647"/>
        </w:tabs>
        <w:jc w:val="center"/>
        <w:rPr>
          <w:rFonts w:ascii="Arial" w:hAnsi="Arial" w:cs="Arial"/>
          <w:i/>
          <w:iCs/>
          <w:color w:val="000000"/>
          <w:sz w:val="23"/>
          <w:szCs w:val="23"/>
          <w:lang w:val="en-AU"/>
        </w:rPr>
        <w:sectPr w:rsidR="00315D85" w:rsidSect="00315D85">
          <w:type w:val="continuous"/>
          <w:pgSz w:w="11900" w:h="16840"/>
          <w:pgMar w:top="1134" w:right="1134" w:bottom="1134" w:left="1134" w:header="709" w:footer="709" w:gutter="0"/>
          <w:cols w:space="708"/>
          <w:docGrid w:linePitch="360"/>
        </w:sectPr>
      </w:pPr>
    </w:p>
    <w:p w14:paraId="3C6A6B2B" w14:textId="77777777" w:rsidR="003A1413" w:rsidRPr="00315D85" w:rsidRDefault="003A1413" w:rsidP="003A1413">
      <w:pPr>
        <w:rPr>
          <w:rFonts w:ascii="Times" w:hAnsi="Times" w:cs="Times New Roman"/>
          <w:sz w:val="20"/>
          <w:szCs w:val="20"/>
          <w:lang w:val="en-AU"/>
        </w:rPr>
      </w:pPr>
      <w:r w:rsidRPr="00315D85">
        <w:rPr>
          <w:rFonts w:cs="Times New Roman"/>
          <w:i/>
          <w:iCs/>
          <w:color w:val="000000"/>
          <w:lang w:val="en-AU"/>
        </w:rPr>
        <w:lastRenderedPageBreak/>
        <w:t xml:space="preserve">    </w:t>
      </w:r>
    </w:p>
    <w:p w14:paraId="599E34A6" w14:textId="729E5A84" w:rsidR="003A1413" w:rsidRDefault="003A1413" w:rsidP="003A1413">
      <w:pPr>
        <w:rPr>
          <w:lang w:val="en-AU"/>
        </w:rPr>
      </w:pPr>
      <w:r w:rsidRPr="003A1413">
        <w:rPr>
          <w:lang w:val="en-AU"/>
        </w:rPr>
        <w:t>All interested stakeholders are encouraged to visit the IGF website for full transcripts of all the main sessions and workshops that took place throughout the we</w:t>
      </w:r>
      <w:r>
        <w:rPr>
          <w:lang w:val="en-AU"/>
        </w:rPr>
        <w:t>ek at the 9</w:t>
      </w:r>
      <w:r w:rsidRPr="003A1413">
        <w:rPr>
          <w:vertAlign w:val="superscript"/>
          <w:lang w:val="en-AU"/>
        </w:rPr>
        <w:t>th</w:t>
      </w:r>
      <w:r>
        <w:rPr>
          <w:lang w:val="en-AU"/>
        </w:rPr>
        <w:t xml:space="preserve"> </w:t>
      </w:r>
      <w:r w:rsidRPr="003A1413">
        <w:rPr>
          <w:lang w:val="en-AU"/>
        </w:rPr>
        <w:t>IGF. The IGF YouTube channel also contains videos of all the sessions.</w:t>
      </w:r>
    </w:p>
    <w:p w14:paraId="4D9C85A1" w14:textId="77777777" w:rsidR="003A1413" w:rsidRPr="003A1413" w:rsidRDefault="003A1413" w:rsidP="003A1413">
      <w:pPr>
        <w:rPr>
          <w:rFonts w:ascii="Times" w:hAnsi="Times"/>
          <w:lang w:val="en-AU"/>
        </w:rPr>
      </w:pPr>
    </w:p>
    <w:p w14:paraId="28AC4BB6" w14:textId="77777777" w:rsidR="003A1413" w:rsidRDefault="003A1413" w:rsidP="003A1413">
      <w:pPr>
        <w:jc w:val="center"/>
        <w:rPr>
          <w:rFonts w:cs="Times New Roman"/>
          <w:b/>
          <w:bCs/>
          <w:i/>
          <w:iCs/>
          <w:color w:val="000000"/>
          <w:lang w:val="en-AU"/>
        </w:rPr>
      </w:pPr>
      <w:r w:rsidRPr="00315D85">
        <w:rPr>
          <w:rFonts w:cs="Times New Roman"/>
          <w:b/>
          <w:bCs/>
          <w:i/>
          <w:iCs/>
          <w:color w:val="000000"/>
          <w:lang w:val="en-AU"/>
        </w:rPr>
        <w:t>•  </w:t>
      </w:r>
      <w:r w:rsidRPr="00315D85">
        <w:rPr>
          <w:rFonts w:cs="Times New Roman"/>
          <w:b/>
          <w:bCs/>
          <w:color w:val="000000"/>
          <w:lang w:val="en-AU"/>
        </w:rPr>
        <w:t>http://www.intgovforum.org</w:t>
      </w:r>
      <w:r w:rsidRPr="00315D85">
        <w:rPr>
          <w:rFonts w:cs="Times New Roman"/>
          <w:b/>
          <w:bCs/>
          <w:i/>
          <w:iCs/>
          <w:color w:val="000000"/>
          <w:lang w:val="en-AU"/>
        </w:rPr>
        <w:t xml:space="preserve">  •  </w:t>
      </w:r>
      <w:r w:rsidRPr="00315D85">
        <w:rPr>
          <w:rFonts w:cs="Times New Roman"/>
          <w:b/>
          <w:bCs/>
          <w:color w:val="000000"/>
          <w:lang w:val="en-AU"/>
        </w:rPr>
        <w:t xml:space="preserve">http://www.youtube.com/user/igf </w:t>
      </w:r>
      <w:r>
        <w:rPr>
          <w:rFonts w:cs="Times New Roman"/>
          <w:b/>
          <w:bCs/>
          <w:color w:val="000000"/>
          <w:lang w:val="en-AU"/>
        </w:rPr>
        <w:t xml:space="preserve"> </w:t>
      </w:r>
      <w:r w:rsidRPr="00315D85">
        <w:rPr>
          <w:rFonts w:cs="Times New Roman"/>
          <w:b/>
          <w:bCs/>
          <w:i/>
          <w:iCs/>
          <w:color w:val="000000"/>
          <w:lang w:val="en-AU"/>
        </w:rPr>
        <w:t>•</w:t>
      </w:r>
      <w:r>
        <w:rPr>
          <w:rFonts w:cs="Times New Roman"/>
          <w:b/>
          <w:bCs/>
          <w:i/>
          <w:iCs/>
          <w:color w:val="000000"/>
          <w:lang w:val="en-AU"/>
        </w:rPr>
        <w:t xml:space="preserve">  </w:t>
      </w:r>
    </w:p>
    <w:p w14:paraId="74E14554" w14:textId="77777777" w:rsidR="003A1413" w:rsidRPr="00315D85" w:rsidRDefault="003A1413" w:rsidP="003A1413">
      <w:pPr>
        <w:jc w:val="center"/>
        <w:rPr>
          <w:rFonts w:ascii="Times" w:hAnsi="Times" w:cs="Times New Roman"/>
          <w:sz w:val="20"/>
          <w:szCs w:val="20"/>
          <w:lang w:val="en-AU"/>
        </w:rPr>
      </w:pPr>
      <w:r w:rsidRPr="00315D85">
        <w:rPr>
          <w:rFonts w:cs="Times New Roman"/>
          <w:b/>
          <w:bCs/>
          <w:i/>
          <w:iCs/>
          <w:color w:val="000000"/>
          <w:lang w:val="en-AU"/>
        </w:rPr>
        <w:t>•</w:t>
      </w:r>
      <w:r>
        <w:rPr>
          <w:rFonts w:cs="Times New Roman"/>
          <w:b/>
          <w:bCs/>
          <w:i/>
          <w:iCs/>
          <w:color w:val="000000"/>
          <w:lang w:val="en-AU"/>
        </w:rPr>
        <w:t xml:space="preserve">  </w:t>
      </w:r>
      <w:r w:rsidRPr="00315D85">
        <w:rPr>
          <w:rFonts w:cs="Times New Roman"/>
          <w:b/>
          <w:bCs/>
          <w:color w:val="000000"/>
          <w:lang w:val="en-AU"/>
        </w:rPr>
        <w:t xml:space="preserve">https://twitter.com/intgovforum </w:t>
      </w:r>
      <w:r w:rsidRPr="00315D85">
        <w:rPr>
          <w:rFonts w:cs="Times New Roman"/>
          <w:b/>
          <w:bCs/>
          <w:i/>
          <w:iCs/>
          <w:color w:val="000000"/>
          <w:lang w:val="en-AU"/>
        </w:rPr>
        <w:t> •   </w:t>
      </w:r>
    </w:p>
    <w:p w14:paraId="2796D6C9" w14:textId="77777777" w:rsidR="00DC4E4C" w:rsidRDefault="003A1413" w:rsidP="00DC4E4C">
      <w:pPr>
        <w:jc w:val="center"/>
      </w:pPr>
      <w:r w:rsidRPr="00315D85">
        <w:rPr>
          <w:rFonts w:eastAsia="Times New Roman" w:cs="Times New Roman"/>
          <w:b/>
          <w:bCs/>
          <w:i/>
          <w:iCs/>
          <w:color w:val="000000"/>
          <w:lang w:val="en-AU"/>
        </w:rPr>
        <w:t>•  </w:t>
      </w:r>
      <w:r w:rsidRPr="00315D85">
        <w:rPr>
          <w:rFonts w:eastAsia="Times New Roman" w:cs="Times New Roman"/>
          <w:b/>
          <w:bCs/>
          <w:color w:val="000000"/>
          <w:lang w:val="en-AU"/>
        </w:rPr>
        <w:t>https://www.facebook.com/IntGovForum  </w:t>
      </w:r>
      <w:r w:rsidRPr="00315D85">
        <w:rPr>
          <w:rFonts w:eastAsia="Times New Roman" w:cs="Times New Roman"/>
          <w:b/>
          <w:bCs/>
          <w:i/>
          <w:iCs/>
          <w:color w:val="000000"/>
          <w:lang w:val="en-AU"/>
        </w:rPr>
        <w:t>•</w:t>
      </w:r>
    </w:p>
    <w:p w14:paraId="16908CE0" w14:textId="60BAAADE" w:rsidR="00041393" w:rsidRPr="00702B5A" w:rsidRDefault="00041393" w:rsidP="00DC4E4C">
      <w:pPr>
        <w:pStyle w:val="Heading2"/>
        <w:ind w:left="-142"/>
      </w:pPr>
      <w:r>
        <w:lastRenderedPageBreak/>
        <w:t>From Dialogue to A</w:t>
      </w:r>
      <w:r w:rsidRPr="00041393">
        <w:t xml:space="preserve">ction </w:t>
      </w:r>
    </w:p>
    <w:p w14:paraId="5FDE34FC" w14:textId="0998B383" w:rsidR="004076B6" w:rsidRPr="00315D85" w:rsidRDefault="00041393" w:rsidP="00315D85">
      <w:pPr>
        <w:ind w:left="-142"/>
        <w:rPr>
          <w:lang w:val="en-AU"/>
        </w:rPr>
      </w:pPr>
      <w:r w:rsidRPr="004076B6">
        <w:rPr>
          <w:lang w:val="en-AU"/>
        </w:rPr>
        <w:t>Participants discussed and proposed possible ways forward on a number of topics discussed over the four day IGF 2014:</w:t>
      </w:r>
    </w:p>
    <w:p w14:paraId="3DE8061B" w14:textId="77777777" w:rsidR="00041393" w:rsidRDefault="00041393" w:rsidP="00041393">
      <w:pPr>
        <w:rPr>
          <w:rFonts w:ascii="Arial" w:hAnsi="Arial" w:cs="Arial"/>
          <w:b/>
          <w:bCs/>
          <w:color w:val="000000"/>
          <w:sz w:val="23"/>
          <w:szCs w:val="23"/>
          <w:lang w:val="en-AU"/>
        </w:rPr>
      </w:pPr>
    </w:p>
    <w:p w14:paraId="093F16CC" w14:textId="77777777" w:rsidR="00041393" w:rsidRDefault="00041393" w:rsidP="00041393">
      <w:pPr>
        <w:rPr>
          <w:rFonts w:ascii="Arial" w:hAnsi="Arial" w:cs="Arial"/>
          <w:b/>
          <w:bCs/>
          <w:color w:val="000000"/>
          <w:sz w:val="23"/>
          <w:szCs w:val="23"/>
          <w:lang w:val="en-AU"/>
        </w:rPr>
        <w:sectPr w:rsidR="00041393" w:rsidSect="00315D85">
          <w:type w:val="continuous"/>
          <w:pgSz w:w="11900" w:h="16840"/>
          <w:pgMar w:top="1134" w:right="1134" w:bottom="1134" w:left="1134" w:header="709" w:footer="709" w:gutter="0"/>
          <w:cols w:space="708"/>
          <w:docGrid w:linePitch="360"/>
        </w:sectPr>
      </w:pPr>
    </w:p>
    <w:p w14:paraId="545A538B" w14:textId="77777777" w:rsidR="00041393" w:rsidRPr="00041393" w:rsidRDefault="00041393" w:rsidP="003A1413">
      <w:pPr>
        <w:pStyle w:val="Heading3"/>
        <w:rPr>
          <w:rFonts w:ascii="Times" w:hAnsi="Times" w:cs="Times New Roman"/>
          <w:sz w:val="20"/>
          <w:szCs w:val="20"/>
          <w:lang w:val="en-AU"/>
        </w:rPr>
      </w:pPr>
      <w:r w:rsidRPr="00041393">
        <w:rPr>
          <w:lang w:val="en-AU"/>
        </w:rPr>
        <w:lastRenderedPageBreak/>
        <w:t>The Internet Governance Forum Beyond 2014</w:t>
      </w:r>
    </w:p>
    <w:p w14:paraId="2843E79F" w14:textId="04BDEB08" w:rsidR="00041393" w:rsidRDefault="00F64DB7" w:rsidP="00D3340E">
      <w:pPr>
        <w:rPr>
          <w:color w:val="1155CC"/>
          <w:u w:val="single"/>
          <w:lang w:val="en-AU"/>
        </w:rPr>
      </w:pPr>
      <w:r>
        <w:rPr>
          <w:rFonts w:eastAsia="Times New Roman" w:cs="Times New Roman"/>
          <w:color w:val="000000"/>
        </w:rPr>
        <w:t xml:space="preserve">A </w:t>
      </w:r>
      <w:proofErr w:type="spellStart"/>
      <w:r>
        <w:rPr>
          <w:rFonts w:eastAsia="Times New Roman" w:cs="Times New Roman"/>
          <w:color w:val="000000"/>
        </w:rPr>
        <w:t>multistakeholder</w:t>
      </w:r>
      <w:proofErr w:type="spellEnd"/>
      <w:r>
        <w:rPr>
          <w:rFonts w:eastAsia="Times New Roman" w:cs="Times New Roman"/>
          <w:color w:val="000000"/>
        </w:rPr>
        <w:t xml:space="preserve"> group of participants drafted a statement to send to the United Nations (UN) to request a renewal of the IGF mandate and a longer cycle </w:t>
      </w:r>
      <w:r w:rsidR="00DA4859">
        <w:rPr>
          <w:rFonts w:eastAsia="Times New Roman" w:cs="Times New Roman"/>
          <w:color w:val="000000"/>
        </w:rPr>
        <w:t>for each mandate</w:t>
      </w:r>
      <w:r>
        <w:rPr>
          <w:rFonts w:eastAsia="Times New Roman" w:cs="Times New Roman"/>
          <w:color w:val="000000"/>
        </w:rPr>
        <w:t xml:space="preserve"> </w:t>
      </w:r>
      <w:r w:rsidR="00DA4859">
        <w:rPr>
          <w:rFonts w:eastAsia="Times New Roman" w:cs="Times New Roman"/>
          <w:color w:val="000000"/>
        </w:rPr>
        <w:t>given to the</w:t>
      </w:r>
      <w:r>
        <w:rPr>
          <w:rFonts w:eastAsia="Times New Roman" w:cs="Times New Roman"/>
          <w:color w:val="000000"/>
        </w:rPr>
        <w:t xml:space="preserve"> IGF. Discussion on the draft will continue online at </w:t>
      </w:r>
      <w:hyperlink r:id="rId9" w:history="1">
        <w:r w:rsidR="00CB1241" w:rsidRPr="00CB1241">
          <w:rPr>
            <w:rStyle w:val="Hyperlink"/>
          </w:rPr>
          <w:t>http://igfcontinuation.org</w:t>
        </w:r>
      </w:hyperlink>
      <w:r w:rsidR="00CB1241">
        <w:t xml:space="preserve">. </w:t>
      </w:r>
    </w:p>
    <w:p w14:paraId="524F87E2" w14:textId="77777777" w:rsidR="003A1413" w:rsidRDefault="003A1413" w:rsidP="00D3340E">
      <w:pPr>
        <w:rPr>
          <w:color w:val="1155CC"/>
          <w:u w:val="single"/>
          <w:lang w:val="en-AU"/>
        </w:rPr>
      </w:pPr>
    </w:p>
    <w:p w14:paraId="5AF790D9" w14:textId="77777777" w:rsidR="003A1413" w:rsidRPr="00041393" w:rsidRDefault="003A1413" w:rsidP="003A1413">
      <w:pPr>
        <w:pStyle w:val="Heading3"/>
        <w:rPr>
          <w:rFonts w:ascii="Times" w:hAnsi="Times" w:cs="Times New Roman"/>
          <w:sz w:val="20"/>
          <w:szCs w:val="20"/>
          <w:lang w:val="en-AU"/>
        </w:rPr>
      </w:pPr>
      <w:r>
        <w:rPr>
          <w:lang w:val="en-AU"/>
        </w:rPr>
        <w:t>National and R</w:t>
      </w:r>
      <w:r w:rsidRPr="00041393">
        <w:rPr>
          <w:lang w:val="en-AU"/>
        </w:rPr>
        <w:t>egional IGFs</w:t>
      </w:r>
    </w:p>
    <w:p w14:paraId="667CC2C0" w14:textId="77777777" w:rsidR="003A1413" w:rsidRDefault="003A1413" w:rsidP="003A1413">
      <w:pPr>
        <w:rPr>
          <w:rFonts w:eastAsia="Times New Roman" w:cs="Times New Roman"/>
          <w:color w:val="000000"/>
        </w:rPr>
      </w:pPr>
      <w:r>
        <w:rPr>
          <w:rFonts w:eastAsia="Times New Roman" w:cs="Times New Roman"/>
          <w:color w:val="000000"/>
        </w:rPr>
        <w:t>Some participants, including a number of representatives of the national and regional IGF initiatives, suggested that there should be increased cross-fertilization between the growing network of national and regional IGFs and the global IGF.</w:t>
      </w:r>
    </w:p>
    <w:p w14:paraId="501CC663" w14:textId="77777777" w:rsidR="003A1413" w:rsidRDefault="003A1413" w:rsidP="003A1413">
      <w:pPr>
        <w:rPr>
          <w:rFonts w:eastAsia="Times New Roman" w:cs="Times New Roman"/>
          <w:color w:val="000000"/>
        </w:rPr>
      </w:pPr>
    </w:p>
    <w:p w14:paraId="7909BED0" w14:textId="77777777" w:rsidR="003A1413" w:rsidRPr="00041393" w:rsidRDefault="003A1413" w:rsidP="003A1413">
      <w:pPr>
        <w:pStyle w:val="Heading3"/>
        <w:rPr>
          <w:rFonts w:ascii="Times" w:hAnsi="Times" w:cs="Times New Roman"/>
          <w:sz w:val="36"/>
          <w:szCs w:val="36"/>
          <w:lang w:val="en-AU"/>
        </w:rPr>
      </w:pPr>
      <w:r w:rsidRPr="00041393">
        <w:rPr>
          <w:lang w:val="en-AU"/>
        </w:rPr>
        <w:t xml:space="preserve">IGF 2014 Best Practice Forums </w:t>
      </w:r>
    </w:p>
    <w:p w14:paraId="05EA1E70" w14:textId="77777777" w:rsidR="003A1413" w:rsidRDefault="003A1413" w:rsidP="003A1413">
      <w:pPr>
        <w:rPr>
          <w:lang w:val="en-AU"/>
        </w:rPr>
      </w:pPr>
      <w:r w:rsidRPr="00041393">
        <w:rPr>
          <w:lang w:val="en-AU"/>
        </w:rPr>
        <w:t>The best practice forums drew together the knowledge, wisdom, and expertise of stakeholders to provid</w:t>
      </w:r>
      <w:r>
        <w:rPr>
          <w:lang w:val="en-AU"/>
        </w:rPr>
        <w:t>e useful insights to the whole I</w:t>
      </w:r>
      <w:r w:rsidRPr="00041393">
        <w:rPr>
          <w:lang w:val="en-AU"/>
        </w:rPr>
        <w:t xml:space="preserve">nternet community on: </w:t>
      </w:r>
    </w:p>
    <w:p w14:paraId="019E5F52" w14:textId="77777777" w:rsidR="003A1413" w:rsidRPr="00041393" w:rsidRDefault="003A1413" w:rsidP="003A1413">
      <w:pPr>
        <w:rPr>
          <w:lang w:val="en-AU"/>
        </w:rPr>
      </w:pPr>
    </w:p>
    <w:p w14:paraId="33BB7BD8" w14:textId="77777777" w:rsidR="003A1413" w:rsidRPr="00D3340E" w:rsidRDefault="003A1413" w:rsidP="003A1413">
      <w:pPr>
        <w:pStyle w:val="ListParagraph"/>
        <w:numPr>
          <w:ilvl w:val="0"/>
          <w:numId w:val="14"/>
        </w:numPr>
        <w:rPr>
          <w:lang w:val="en-AU"/>
        </w:rPr>
      </w:pPr>
      <w:r w:rsidRPr="00D3340E">
        <w:rPr>
          <w:lang w:val="en-AU"/>
        </w:rPr>
        <w:t xml:space="preserve">Developing Meaningful </w:t>
      </w:r>
      <w:proofErr w:type="spellStart"/>
      <w:r w:rsidRPr="00D3340E">
        <w:rPr>
          <w:lang w:val="en-AU"/>
        </w:rPr>
        <w:t>Multistakeholder</w:t>
      </w:r>
      <w:proofErr w:type="spellEnd"/>
      <w:r w:rsidRPr="00D3340E">
        <w:rPr>
          <w:lang w:val="en-AU"/>
        </w:rPr>
        <w:t xml:space="preserve"> Mechanisms</w:t>
      </w:r>
    </w:p>
    <w:p w14:paraId="3A8AEA02" w14:textId="77777777" w:rsidR="003A1413" w:rsidRPr="00D3340E" w:rsidRDefault="003A1413" w:rsidP="003A1413">
      <w:pPr>
        <w:pStyle w:val="ListParagraph"/>
        <w:numPr>
          <w:ilvl w:val="0"/>
          <w:numId w:val="14"/>
        </w:numPr>
        <w:rPr>
          <w:lang w:val="en-AU"/>
        </w:rPr>
      </w:pPr>
      <w:r w:rsidRPr="00D3340E">
        <w:rPr>
          <w:lang w:val="en-AU"/>
        </w:rPr>
        <w:t xml:space="preserve">Regulation and Mitigation of Unwanted Communications (Spam) </w:t>
      </w:r>
    </w:p>
    <w:p w14:paraId="7E401A37" w14:textId="77777777" w:rsidR="003A1413" w:rsidRPr="00D3340E" w:rsidRDefault="003A1413" w:rsidP="003A1413">
      <w:pPr>
        <w:pStyle w:val="ListParagraph"/>
        <w:numPr>
          <w:ilvl w:val="0"/>
          <w:numId w:val="14"/>
        </w:numPr>
        <w:rPr>
          <w:lang w:val="en-AU"/>
        </w:rPr>
      </w:pPr>
      <w:r w:rsidRPr="00D3340E">
        <w:rPr>
          <w:lang w:val="en-AU"/>
        </w:rPr>
        <w:t>Establishing and Supporting CERTs for Internet Security</w:t>
      </w:r>
    </w:p>
    <w:p w14:paraId="7C3A9D13" w14:textId="77777777" w:rsidR="003A1413" w:rsidRPr="00D3340E" w:rsidRDefault="003A1413" w:rsidP="003A1413">
      <w:pPr>
        <w:pStyle w:val="ListParagraph"/>
        <w:numPr>
          <w:ilvl w:val="0"/>
          <w:numId w:val="14"/>
        </w:numPr>
        <w:rPr>
          <w:lang w:val="en-AU"/>
        </w:rPr>
      </w:pPr>
      <w:r w:rsidRPr="00D3340E">
        <w:rPr>
          <w:lang w:val="en-AU"/>
        </w:rPr>
        <w:t xml:space="preserve">Creating an Enabling Environment for the Development of Local Content </w:t>
      </w:r>
    </w:p>
    <w:p w14:paraId="6FA8CDB9" w14:textId="77777777" w:rsidR="003A1413" w:rsidRPr="00F926BA" w:rsidRDefault="003A1413" w:rsidP="003A1413">
      <w:pPr>
        <w:pStyle w:val="ListParagraph"/>
        <w:numPr>
          <w:ilvl w:val="0"/>
          <w:numId w:val="14"/>
        </w:numPr>
        <w:rPr>
          <w:lang w:val="en-AU"/>
        </w:rPr>
      </w:pPr>
      <w:r w:rsidRPr="00D3340E">
        <w:rPr>
          <w:lang w:val="en-AU"/>
        </w:rPr>
        <w:t>Onl</w:t>
      </w:r>
      <w:r>
        <w:rPr>
          <w:lang w:val="en-AU"/>
        </w:rPr>
        <w:t>ine Child Safety and Protection</w:t>
      </w:r>
    </w:p>
    <w:p w14:paraId="39E91ABC" w14:textId="77777777" w:rsidR="003A1413" w:rsidRDefault="003A1413" w:rsidP="003A1413">
      <w:pPr>
        <w:rPr>
          <w:lang w:val="en-AU"/>
        </w:rPr>
      </w:pPr>
    </w:p>
    <w:p w14:paraId="3EB360C2" w14:textId="77777777" w:rsidR="003A1413" w:rsidRDefault="003A1413" w:rsidP="003A1413">
      <w:pPr>
        <w:rPr>
          <w:lang w:val="en-AU"/>
        </w:rPr>
      </w:pPr>
      <w:r w:rsidRPr="00041393">
        <w:rPr>
          <w:lang w:val="en-AU"/>
        </w:rPr>
        <w:t xml:space="preserve">All stakeholders are encouraged to contribute and comment on the draft best practice documents at </w:t>
      </w:r>
      <w:hyperlink r:id="rId10" w:history="1">
        <w:r w:rsidRPr="005749D7">
          <w:rPr>
            <w:rStyle w:val="Hyperlink"/>
            <w:rFonts w:cs="Arial"/>
            <w:sz w:val="23"/>
            <w:szCs w:val="23"/>
            <w:lang w:val="en-AU"/>
          </w:rPr>
          <w:t>http://review.intgovforum.org/igf2014</w:t>
        </w:r>
      </w:hyperlink>
      <w:r w:rsidRPr="005749D7">
        <w:rPr>
          <w:lang w:val="en-AU"/>
        </w:rPr>
        <w:t>.</w:t>
      </w:r>
      <w:r w:rsidRPr="00041393">
        <w:rPr>
          <w:lang w:val="en-AU"/>
        </w:rPr>
        <w:t xml:space="preserve"> The deadline is </w:t>
      </w:r>
      <w:r w:rsidRPr="00041393">
        <w:rPr>
          <w:b/>
          <w:lang w:val="en-AU"/>
        </w:rPr>
        <w:t>15 September 2014</w:t>
      </w:r>
      <w:r w:rsidRPr="00041393">
        <w:rPr>
          <w:lang w:val="en-AU"/>
        </w:rPr>
        <w:t xml:space="preserve">. </w:t>
      </w:r>
    </w:p>
    <w:p w14:paraId="7AF3A345" w14:textId="77777777" w:rsidR="003A1413" w:rsidRPr="00041393" w:rsidRDefault="003A1413" w:rsidP="003A1413">
      <w:pPr>
        <w:rPr>
          <w:lang w:val="en-AU"/>
        </w:rPr>
      </w:pPr>
    </w:p>
    <w:p w14:paraId="653DE355" w14:textId="77777777" w:rsidR="00041393" w:rsidRPr="00041393" w:rsidRDefault="00041393" w:rsidP="00041393">
      <w:pPr>
        <w:pStyle w:val="Heading3"/>
        <w:rPr>
          <w:rFonts w:ascii="Times" w:hAnsi="Times" w:cs="Times New Roman"/>
          <w:sz w:val="20"/>
          <w:szCs w:val="20"/>
          <w:lang w:val="en-AU"/>
        </w:rPr>
      </w:pPr>
      <w:r w:rsidRPr="00041393">
        <w:rPr>
          <w:lang w:val="en-AU"/>
        </w:rPr>
        <w:t xml:space="preserve">Network Neutrality </w:t>
      </w:r>
    </w:p>
    <w:p w14:paraId="53CAF4A4" w14:textId="6257308B" w:rsidR="00F64DB7" w:rsidRPr="00F64DB7" w:rsidRDefault="00F64DB7" w:rsidP="00F64DB7">
      <w:pPr>
        <w:rPr>
          <w:rFonts w:ascii="Times" w:hAnsi="Times" w:cs="Times New Roman"/>
          <w:sz w:val="20"/>
          <w:szCs w:val="20"/>
          <w:lang w:val="en-AU"/>
        </w:rPr>
      </w:pPr>
      <w:r w:rsidRPr="00F64DB7">
        <w:rPr>
          <w:rFonts w:cs="Times New Roman"/>
          <w:color w:val="000000"/>
          <w:lang w:val="en-AU"/>
        </w:rPr>
        <w:t>Recommendations were made on how the debate on network neutrality can be taken</w:t>
      </w:r>
      <w:r w:rsidR="00ED0A82">
        <w:rPr>
          <w:rFonts w:cs="Times New Roman"/>
          <w:color w:val="000000"/>
          <w:lang w:val="en-AU"/>
        </w:rPr>
        <w:t xml:space="preserve"> forward</w:t>
      </w:r>
      <w:r w:rsidRPr="00F64DB7">
        <w:rPr>
          <w:rFonts w:cs="Times New Roman"/>
          <w:color w:val="000000"/>
          <w:lang w:val="en-AU"/>
        </w:rPr>
        <w:t>. As th</w:t>
      </w:r>
      <w:r>
        <w:rPr>
          <w:rFonts w:cs="Times New Roman"/>
          <w:color w:val="000000"/>
          <w:lang w:val="en-AU"/>
        </w:rPr>
        <w:t xml:space="preserve">is year’s session was aimed at </w:t>
      </w:r>
      <w:r w:rsidRPr="00F64DB7">
        <w:rPr>
          <w:rFonts w:cs="Times New Roman"/>
          <w:color w:val="000000"/>
          <w:lang w:val="en-AU"/>
        </w:rPr>
        <w:t xml:space="preserve">fostering a common understanding of the issues, it was indicated that next year’s IGF is expected to feature a more developed discussion. </w:t>
      </w:r>
    </w:p>
    <w:p w14:paraId="2C181265" w14:textId="77777777" w:rsidR="00F64DB7" w:rsidRPr="00F64DB7" w:rsidRDefault="00F64DB7" w:rsidP="00F64DB7">
      <w:pPr>
        <w:rPr>
          <w:rFonts w:ascii="Times" w:eastAsia="Times New Roman" w:hAnsi="Times" w:cs="Times New Roman"/>
          <w:sz w:val="20"/>
          <w:szCs w:val="20"/>
          <w:lang w:val="en-AU"/>
        </w:rPr>
      </w:pPr>
    </w:p>
    <w:p w14:paraId="328665DD" w14:textId="5D7001AC" w:rsidR="00F64DB7" w:rsidRDefault="00F64DB7" w:rsidP="00F64DB7">
      <w:pPr>
        <w:rPr>
          <w:rFonts w:cs="Times New Roman"/>
          <w:color w:val="000000"/>
          <w:lang w:val="en-AU"/>
        </w:rPr>
      </w:pPr>
      <w:r w:rsidRPr="00F64DB7">
        <w:rPr>
          <w:rFonts w:cs="Times New Roman"/>
          <w:color w:val="000000"/>
          <w:lang w:val="en-AU"/>
        </w:rPr>
        <w:t xml:space="preserve">The concept of zero-rating was heavily discussed, with some speakers in favour of the practice, while others criticized its usage, and opinions were highly </w:t>
      </w:r>
      <w:r w:rsidRPr="00F64DB7">
        <w:rPr>
          <w:rFonts w:cs="Times New Roman"/>
          <w:color w:val="000000"/>
          <w:lang w:val="en-AU"/>
        </w:rPr>
        <w:lastRenderedPageBreak/>
        <w:t>divergent between developing and developed country perspectives. While opinion lay mostly divided on the optimal network neutrality framework for enhancing the economic implications of the Internet, there were indeed shared values on the importance of enhancing users</w:t>
      </w:r>
      <w:r w:rsidR="00DA4859">
        <w:rPr>
          <w:rFonts w:cs="Times New Roman"/>
          <w:color w:val="000000"/>
          <w:lang w:val="en-AU"/>
        </w:rPr>
        <w:t>’</w:t>
      </w:r>
      <w:r w:rsidRPr="00F64DB7">
        <w:rPr>
          <w:rFonts w:cs="Times New Roman"/>
          <w:color w:val="000000"/>
          <w:lang w:val="en-AU"/>
        </w:rPr>
        <w:t xml:space="preserve"> experience.</w:t>
      </w:r>
    </w:p>
    <w:p w14:paraId="6FCB9010" w14:textId="77777777" w:rsidR="003A1413" w:rsidRPr="00F64DB7" w:rsidRDefault="003A1413" w:rsidP="00F64DB7">
      <w:pPr>
        <w:rPr>
          <w:rFonts w:ascii="Times" w:hAnsi="Times" w:cs="Times New Roman"/>
          <w:sz w:val="20"/>
          <w:szCs w:val="20"/>
          <w:lang w:val="en-AU"/>
        </w:rPr>
      </w:pPr>
    </w:p>
    <w:p w14:paraId="49796C7F" w14:textId="77777777" w:rsidR="00041393" w:rsidRPr="00041393" w:rsidRDefault="00041393" w:rsidP="00041393">
      <w:pPr>
        <w:pStyle w:val="Heading3"/>
        <w:rPr>
          <w:rFonts w:ascii="Times" w:hAnsi="Times" w:cs="Times New Roman"/>
          <w:sz w:val="20"/>
          <w:szCs w:val="20"/>
          <w:lang w:val="en-AU"/>
        </w:rPr>
      </w:pPr>
      <w:r w:rsidRPr="00041393">
        <w:rPr>
          <w:lang w:val="en-AU"/>
        </w:rPr>
        <w:t>Human Rights</w:t>
      </w:r>
    </w:p>
    <w:p w14:paraId="1D2E85CE" w14:textId="77777777" w:rsidR="00F64DB7" w:rsidRPr="00F64DB7" w:rsidRDefault="00F64DB7" w:rsidP="00F64DB7">
      <w:pPr>
        <w:rPr>
          <w:rFonts w:ascii="Times" w:hAnsi="Times" w:cs="Times New Roman"/>
          <w:sz w:val="20"/>
          <w:szCs w:val="20"/>
          <w:lang w:val="en-AU"/>
        </w:rPr>
      </w:pPr>
      <w:r w:rsidRPr="00F64DB7">
        <w:rPr>
          <w:rFonts w:cs="Times New Roman"/>
          <w:color w:val="000000"/>
          <w:lang w:val="en-AU"/>
        </w:rPr>
        <w:t>Organizers from a selection of the almost fifty workshops at IGF 2014 that focused–directly or indirectly–on human rights issues met for a roundtable and endorsed a message document to be brought to the Human Rights Council panel on Privacy in the Digital Age on</w:t>
      </w:r>
      <w:r w:rsidRPr="00F64DB7">
        <w:rPr>
          <w:rFonts w:cs="Times New Roman"/>
          <w:b/>
          <w:bCs/>
          <w:color w:val="000000"/>
          <w:lang w:val="en-AU"/>
        </w:rPr>
        <w:t xml:space="preserve"> 12 September 2014</w:t>
      </w:r>
      <w:r w:rsidRPr="00F64DB7">
        <w:rPr>
          <w:rFonts w:cs="Times New Roman"/>
          <w:color w:val="000000"/>
          <w:lang w:val="en-AU"/>
        </w:rPr>
        <w:t xml:space="preserve">. </w:t>
      </w:r>
    </w:p>
    <w:p w14:paraId="1C7AD7C2" w14:textId="7A180503" w:rsidR="00041393" w:rsidRDefault="00F64DB7" w:rsidP="00F64DB7">
      <w:pPr>
        <w:rPr>
          <w:rFonts w:eastAsia="Times New Roman" w:cs="Times New Roman"/>
          <w:color w:val="000000"/>
          <w:lang w:val="en-AU"/>
        </w:rPr>
      </w:pPr>
      <w:r w:rsidRPr="00F64DB7">
        <w:rPr>
          <w:rFonts w:ascii="Times" w:eastAsia="Times New Roman" w:hAnsi="Times" w:cs="Times New Roman"/>
          <w:sz w:val="20"/>
          <w:szCs w:val="20"/>
          <w:lang w:val="en-AU"/>
        </w:rPr>
        <w:br/>
      </w:r>
      <w:r w:rsidRPr="00F64DB7">
        <w:rPr>
          <w:rFonts w:eastAsia="Times New Roman" w:cs="Times New Roman"/>
          <w:color w:val="000000"/>
          <w:lang w:val="en-AU"/>
        </w:rPr>
        <w:t>Roundtable participants also recognised a maturity of discussions</w:t>
      </w:r>
      <w:r>
        <w:rPr>
          <w:rFonts w:eastAsia="Times New Roman" w:cs="Times New Roman"/>
          <w:color w:val="000000"/>
          <w:lang w:val="en-AU"/>
        </w:rPr>
        <w:t xml:space="preserve"> on human rights at the IGF and</w:t>
      </w:r>
      <w:r w:rsidRPr="00F64DB7">
        <w:rPr>
          <w:rFonts w:eastAsia="Times New Roman" w:cs="Times New Roman"/>
          <w:color w:val="000000"/>
          <w:lang w:val="en-AU"/>
        </w:rPr>
        <w:t xml:space="preserve"> recommended that a new best practice forum on the protection of privacy in the digital age begin work in the </w:t>
      </w:r>
      <w:r w:rsidR="00315D85">
        <w:rPr>
          <w:rFonts w:eastAsia="Times New Roman" w:cs="Times New Roman"/>
          <w:color w:val="000000"/>
          <w:lang w:val="en-AU"/>
        </w:rPr>
        <w:t xml:space="preserve">lead-up to IGF 2015 in Brazil, </w:t>
      </w:r>
      <w:r w:rsidR="00ED6077">
        <w:rPr>
          <w:rFonts w:eastAsia="Times New Roman" w:cs="Times New Roman"/>
          <w:color w:val="000000"/>
          <w:lang w:val="en-AU"/>
        </w:rPr>
        <w:t>making</w:t>
      </w:r>
      <w:r w:rsidRPr="00F64DB7">
        <w:rPr>
          <w:rFonts w:eastAsia="Times New Roman" w:cs="Times New Roman"/>
          <w:color w:val="000000"/>
          <w:lang w:val="en-AU"/>
        </w:rPr>
        <w:t xml:space="preserve"> use of regional and national IGFs to ensure the inclusion of developing country participants.</w:t>
      </w:r>
    </w:p>
    <w:p w14:paraId="6F62BBB5" w14:textId="77777777" w:rsidR="003A1413" w:rsidRDefault="003A1413" w:rsidP="00F64DB7">
      <w:pPr>
        <w:rPr>
          <w:rFonts w:eastAsia="Times New Roman" w:cs="Times New Roman"/>
          <w:color w:val="000000"/>
          <w:lang w:val="en-AU"/>
        </w:rPr>
      </w:pPr>
    </w:p>
    <w:p w14:paraId="2FB3F868" w14:textId="77777777" w:rsidR="00041393" w:rsidRPr="00041393" w:rsidRDefault="00041393" w:rsidP="00041393">
      <w:pPr>
        <w:pStyle w:val="Heading3"/>
        <w:rPr>
          <w:rFonts w:ascii="Times" w:hAnsi="Times" w:cs="Times New Roman"/>
          <w:sz w:val="20"/>
          <w:szCs w:val="20"/>
          <w:lang w:val="en-AU"/>
        </w:rPr>
      </w:pPr>
      <w:r w:rsidRPr="00041393">
        <w:rPr>
          <w:lang w:val="en-AU"/>
        </w:rPr>
        <w:t xml:space="preserve">Policies Enabling Access, Growth and Development on the Internet </w:t>
      </w:r>
    </w:p>
    <w:p w14:paraId="501896AE" w14:textId="50091439" w:rsidR="00F64DB7" w:rsidRDefault="00F64DB7" w:rsidP="00041393">
      <w:pPr>
        <w:rPr>
          <w:rFonts w:eastAsia="Times New Roman" w:cs="Times New Roman"/>
          <w:color w:val="000000"/>
        </w:rPr>
      </w:pPr>
      <w:r>
        <w:rPr>
          <w:rFonts w:eastAsia="Times New Roman" w:cs="Times New Roman"/>
          <w:color w:val="000000"/>
        </w:rPr>
        <w:t>To facilitate the connection of the next five billion global citizens, a strong call was made for an increased emphasis and inclusion of ICTs and Internet access in the post-2015 development agenda of the UN as a catalyst for economic growth.</w:t>
      </w:r>
    </w:p>
    <w:p w14:paraId="39C7FF5F" w14:textId="77777777" w:rsidR="003A1413" w:rsidRPr="003A1413" w:rsidRDefault="003A1413" w:rsidP="00041393">
      <w:pPr>
        <w:rPr>
          <w:rFonts w:eastAsia="Times New Roman" w:cs="Times New Roman"/>
          <w:color w:val="000000"/>
        </w:rPr>
      </w:pPr>
    </w:p>
    <w:p w14:paraId="2DD94FD5" w14:textId="77777777" w:rsidR="00041393" w:rsidRPr="00041393" w:rsidRDefault="00041393" w:rsidP="00041393">
      <w:pPr>
        <w:pStyle w:val="Heading3"/>
        <w:rPr>
          <w:rFonts w:ascii="Times" w:hAnsi="Times" w:cs="Times New Roman"/>
          <w:sz w:val="20"/>
          <w:szCs w:val="20"/>
          <w:lang w:val="en-AU"/>
        </w:rPr>
      </w:pPr>
      <w:r w:rsidRPr="00041393">
        <w:rPr>
          <w:lang w:val="en-AU"/>
        </w:rPr>
        <w:t xml:space="preserve">Enhancing Digital Trust </w:t>
      </w:r>
    </w:p>
    <w:p w14:paraId="7BBBA977" w14:textId="69612D05" w:rsidR="003A1413" w:rsidRDefault="00F64DB7" w:rsidP="003A1413">
      <w:pPr>
        <w:rPr>
          <w:rFonts w:eastAsia="Times New Roman" w:cs="Times New Roman"/>
          <w:color w:val="000000"/>
        </w:rPr>
      </w:pPr>
      <w:r>
        <w:rPr>
          <w:rFonts w:eastAsia="Times New Roman" w:cs="Times New Roman"/>
          <w:color w:val="000000"/>
        </w:rPr>
        <w:t>Many participants emphasized that there is a need for increased interaction between government entities and all other interested stakeholders in ongoing and future deliberations on enhancing trust in cyberspace.</w:t>
      </w:r>
    </w:p>
    <w:p w14:paraId="489CB9A6" w14:textId="77777777" w:rsidR="003A1413" w:rsidRPr="003A1413" w:rsidRDefault="003A1413" w:rsidP="003A1413">
      <w:pPr>
        <w:rPr>
          <w:rFonts w:eastAsia="Times New Roman" w:cs="Times New Roman"/>
          <w:color w:val="000000"/>
        </w:rPr>
      </w:pPr>
    </w:p>
    <w:p w14:paraId="32479403" w14:textId="77777777" w:rsidR="003A1413" w:rsidRPr="00041393" w:rsidRDefault="003A1413" w:rsidP="003A1413">
      <w:pPr>
        <w:pStyle w:val="Heading3"/>
        <w:rPr>
          <w:rFonts w:ascii="Times" w:hAnsi="Times" w:cs="Times New Roman"/>
          <w:sz w:val="20"/>
          <w:szCs w:val="20"/>
          <w:lang w:val="en-AU"/>
        </w:rPr>
      </w:pPr>
      <w:r w:rsidRPr="00041393">
        <w:rPr>
          <w:lang w:val="en-AU"/>
        </w:rPr>
        <w:t xml:space="preserve">A Message From Youth </w:t>
      </w:r>
    </w:p>
    <w:p w14:paraId="7F060529" w14:textId="77777777" w:rsidR="003A1413" w:rsidRDefault="003A1413" w:rsidP="003A1413">
      <w:pPr>
        <w:rPr>
          <w:rFonts w:eastAsia="Times New Roman" w:cs="Times New Roman"/>
          <w:color w:val="000000"/>
        </w:rPr>
      </w:pPr>
      <w:r>
        <w:rPr>
          <w:rFonts w:eastAsia="Times New Roman" w:cs="Times New Roman"/>
          <w:color w:val="000000"/>
        </w:rPr>
        <w:t>Youth representatives emphasized the need to strengthen existing mechanisms that empower youth in attending and engaging in the Internet governance ecosystem.</w:t>
      </w:r>
    </w:p>
    <w:p w14:paraId="3ABAFB4D" w14:textId="77777777" w:rsidR="003A1413" w:rsidRDefault="003A1413" w:rsidP="00041393">
      <w:pPr>
        <w:spacing w:before="200"/>
        <w:outlineLvl w:val="1"/>
        <w:rPr>
          <w:rFonts w:ascii="Trebuchet MS" w:eastAsia="Times New Roman" w:hAnsi="Trebuchet MS" w:cs="Times New Roman"/>
          <w:b/>
          <w:bCs/>
          <w:color w:val="000000"/>
          <w:sz w:val="26"/>
          <w:szCs w:val="26"/>
          <w:lang w:val="en-AU"/>
        </w:rPr>
        <w:sectPr w:rsidR="003A1413" w:rsidSect="00315D85">
          <w:type w:val="continuous"/>
          <w:pgSz w:w="11900" w:h="16840"/>
          <w:pgMar w:top="1021" w:right="1021" w:bottom="1021" w:left="1021" w:header="709" w:footer="709" w:gutter="0"/>
          <w:cols w:num="2" w:space="284"/>
          <w:docGrid w:linePitch="360"/>
        </w:sectPr>
      </w:pPr>
    </w:p>
    <w:p w14:paraId="75B7ED65" w14:textId="77777777" w:rsidR="005749D7" w:rsidRDefault="005749D7" w:rsidP="005749D7">
      <w:pPr>
        <w:pStyle w:val="Heading2"/>
      </w:pPr>
      <w:r>
        <w:lastRenderedPageBreak/>
        <w:t>Announcements, Launches and Other Highlights of IGF 2014</w:t>
      </w:r>
    </w:p>
    <w:p w14:paraId="2C1B2F28" w14:textId="2BECE353" w:rsidR="005749D7" w:rsidRDefault="005749D7" w:rsidP="005749D7">
      <w:r>
        <w:t>A number of stakeholders from the community made important announcements to the community and launched initiatives that will be taken forward into the broader Inter</w:t>
      </w:r>
      <w:r w:rsidR="00315D85">
        <w:t xml:space="preserve">net governance ecosystem. Below </w:t>
      </w:r>
      <w:r>
        <w:t>is a selection of the many announcements, launches and other highlights of the week.</w:t>
      </w:r>
    </w:p>
    <w:p w14:paraId="72157018" w14:textId="77777777" w:rsidR="00315D85" w:rsidRDefault="00315D85" w:rsidP="005749D7"/>
    <w:p w14:paraId="405158AF" w14:textId="77777777" w:rsidR="00315D85" w:rsidRDefault="00315D85" w:rsidP="005749D7">
      <w:pPr>
        <w:rPr>
          <w:rFonts w:cs="Times New Roman"/>
        </w:rPr>
      </w:pPr>
    </w:p>
    <w:p w14:paraId="3AEC5B4E" w14:textId="77777777" w:rsidR="00401201" w:rsidRDefault="00401201" w:rsidP="005749D7">
      <w:pPr>
        <w:rPr>
          <w:rFonts w:cs="Times New Roman"/>
        </w:rPr>
      </w:pPr>
    </w:p>
    <w:p w14:paraId="29ECE7ED" w14:textId="77777777" w:rsidR="005749D7" w:rsidRDefault="005749D7" w:rsidP="00315D85">
      <w:pPr>
        <w:pStyle w:val="NormalWeb"/>
        <w:spacing w:before="0" w:beforeAutospacing="0" w:after="0" w:afterAutospacing="0"/>
        <w:ind w:left="567" w:right="701"/>
        <w:jc w:val="center"/>
      </w:pPr>
      <w:r>
        <w:rPr>
          <w:rFonts w:ascii="Garamond" w:hAnsi="Garamond"/>
          <w:i/>
          <w:iCs/>
          <w:color w:val="000000"/>
          <w:sz w:val="24"/>
          <w:szCs w:val="24"/>
        </w:rPr>
        <w:t>•  </w:t>
      </w:r>
      <w:r w:rsidRPr="00315D85">
        <w:rPr>
          <w:rFonts w:ascii="Garamond" w:hAnsi="Garamond"/>
          <w:b/>
          <w:bCs/>
          <w:color w:val="000000"/>
          <w:sz w:val="28"/>
          <w:szCs w:val="28"/>
        </w:rPr>
        <w:t>Pre-conference</w:t>
      </w:r>
      <w:r w:rsidRPr="00315D85">
        <w:rPr>
          <w:rFonts w:ascii="Garamond" w:hAnsi="Garamond"/>
          <w:i/>
          <w:iCs/>
          <w:color w:val="000000"/>
          <w:sz w:val="28"/>
          <w:szCs w:val="28"/>
        </w:rPr>
        <w:t xml:space="preserve">  </w:t>
      </w:r>
      <w:r>
        <w:rPr>
          <w:rFonts w:ascii="Garamond" w:hAnsi="Garamond"/>
          <w:i/>
          <w:iCs/>
          <w:color w:val="000000"/>
          <w:sz w:val="24"/>
          <w:szCs w:val="24"/>
        </w:rPr>
        <w:t>•  </w:t>
      </w:r>
    </w:p>
    <w:p w14:paraId="008A3323" w14:textId="77777777" w:rsidR="005749D7" w:rsidRDefault="005749D7" w:rsidP="00315D85">
      <w:pPr>
        <w:ind w:left="567" w:right="701"/>
        <w:rPr>
          <w:rFonts w:eastAsia="Times New Roman" w:cs="Times New Roman"/>
        </w:rPr>
      </w:pPr>
    </w:p>
    <w:p w14:paraId="50D8767E" w14:textId="77777777" w:rsidR="005749D7" w:rsidRPr="005749D7" w:rsidRDefault="005749D7" w:rsidP="00315D85">
      <w:pPr>
        <w:ind w:left="567" w:right="701"/>
        <w:rPr>
          <w:rFonts w:cs="Times New Roman"/>
          <w:b/>
        </w:rPr>
      </w:pPr>
      <w:r w:rsidRPr="005749D7">
        <w:rPr>
          <w:b/>
        </w:rPr>
        <w:t>High Level Leaders Meeting</w:t>
      </w:r>
    </w:p>
    <w:p w14:paraId="7FED08BE" w14:textId="693855C0" w:rsidR="005749D7" w:rsidRDefault="00DA4859" w:rsidP="00401201">
      <w:pPr>
        <w:ind w:left="567" w:right="701"/>
      </w:pPr>
      <w:r>
        <w:t>The host country convened a</w:t>
      </w:r>
      <w:r w:rsidR="005749D7">
        <w:t xml:space="preserve"> high level meeting on the topic of capacity building for economic development. </w:t>
      </w:r>
      <w:r w:rsidR="00BE6BE7">
        <w:t>Twenty-one</w:t>
      </w:r>
      <w:r w:rsidR="005749D7">
        <w:t xml:space="preserve"> high level leaders, including government ministers, spoke on this important topic.</w:t>
      </w:r>
    </w:p>
    <w:p w14:paraId="3EB22B3A" w14:textId="77777777" w:rsidR="00401201" w:rsidRPr="00401201" w:rsidRDefault="00401201" w:rsidP="00401201">
      <w:pPr>
        <w:ind w:left="567" w:right="701"/>
      </w:pPr>
    </w:p>
    <w:p w14:paraId="43756679" w14:textId="77777777" w:rsidR="005749D7" w:rsidRPr="005749D7" w:rsidRDefault="005749D7" w:rsidP="00315D85">
      <w:pPr>
        <w:ind w:left="567" w:right="701"/>
        <w:rPr>
          <w:rFonts w:cs="Times New Roman"/>
          <w:b/>
        </w:rPr>
      </w:pPr>
      <w:proofErr w:type="spellStart"/>
      <w:r w:rsidRPr="005749D7">
        <w:rPr>
          <w:b/>
        </w:rPr>
        <w:t>NETmundial</w:t>
      </w:r>
      <w:proofErr w:type="spellEnd"/>
      <w:r w:rsidRPr="005749D7">
        <w:rPr>
          <w:b/>
        </w:rPr>
        <w:t xml:space="preserve">: Looking Back, Learning Lessons and Mapping the Road Ahead </w:t>
      </w:r>
    </w:p>
    <w:p w14:paraId="09E8F6C5" w14:textId="1DADF4C0" w:rsidR="005749D7" w:rsidRDefault="005749D7" w:rsidP="00315D85">
      <w:pPr>
        <w:ind w:left="567" w:right="701"/>
      </w:pPr>
      <w:r>
        <w:t xml:space="preserve">During this day-long follow-up event to the </w:t>
      </w:r>
      <w:proofErr w:type="spellStart"/>
      <w:r>
        <w:t>NETmundial</w:t>
      </w:r>
      <w:proofErr w:type="spellEnd"/>
      <w:r>
        <w:t xml:space="preserve"> in Sao Paulo, an interactive session worked to create a roadmap for institutional improvements to the global Internet governance ecosystem. This event also launched a book, titled </w:t>
      </w:r>
      <w:hyperlink r:id="rId11" w:history="1">
        <w:r w:rsidRPr="00BE6BE7">
          <w:rPr>
            <w:rStyle w:val="Hyperlink"/>
          </w:rPr>
          <w:t xml:space="preserve">Beyond </w:t>
        </w:r>
        <w:proofErr w:type="spellStart"/>
        <w:r w:rsidRPr="00BE6BE7">
          <w:rPr>
            <w:rStyle w:val="Hyperlink"/>
          </w:rPr>
          <w:t>NETmundial</w:t>
        </w:r>
        <w:proofErr w:type="spellEnd"/>
        <w:r w:rsidRPr="00BE6BE7">
          <w:rPr>
            <w:rStyle w:val="Hyperlink"/>
          </w:rPr>
          <w:t>: The Roadmap for Institutional Improvements to the Global Internet Governance Ecosystem</w:t>
        </w:r>
      </w:hyperlink>
      <w:r>
        <w:t xml:space="preserve">. </w:t>
      </w:r>
    </w:p>
    <w:p w14:paraId="494F89A1" w14:textId="77777777" w:rsidR="005749D7" w:rsidRDefault="005749D7" w:rsidP="00315D85">
      <w:pPr>
        <w:ind w:left="567" w:right="701"/>
        <w:rPr>
          <w:rFonts w:eastAsia="Times New Roman" w:cs="Times New Roman"/>
        </w:rPr>
      </w:pPr>
    </w:p>
    <w:p w14:paraId="0B5FC9D2" w14:textId="77777777" w:rsidR="005749D7" w:rsidRPr="005749D7" w:rsidRDefault="005749D7" w:rsidP="00315D85">
      <w:pPr>
        <w:ind w:left="567" w:right="701"/>
        <w:rPr>
          <w:rFonts w:cs="Times New Roman"/>
          <w:b/>
        </w:rPr>
      </w:pPr>
      <w:r w:rsidRPr="005749D7">
        <w:rPr>
          <w:b/>
        </w:rPr>
        <w:t>Internet Governance Forum Support Association</w:t>
      </w:r>
    </w:p>
    <w:p w14:paraId="74CE3914" w14:textId="4636CE42" w:rsidR="005749D7" w:rsidRDefault="005749D7" w:rsidP="00315D85">
      <w:pPr>
        <w:ind w:left="567" w:right="701"/>
      </w:pPr>
      <w:r>
        <w:t>The Internet Society formally launched the Internet Governance</w:t>
      </w:r>
      <w:r w:rsidR="00BE6BE7">
        <w:t xml:space="preserve"> Forum Support Association (IGF</w:t>
      </w:r>
      <w:r>
        <w:t xml:space="preserve">SA). The main objective of the association is to achieve a stable and sustainable funding mechanism to contribute to the United Nations IGF Trust Fund and support related activities. More information </w:t>
      </w:r>
      <w:r w:rsidR="00315D85">
        <w:t xml:space="preserve">is available </w:t>
      </w:r>
      <w:r>
        <w:t xml:space="preserve">at </w:t>
      </w:r>
      <w:hyperlink r:id="rId12" w:history="1">
        <w:r>
          <w:rPr>
            <w:rStyle w:val="Hyperlink"/>
            <w:color w:val="1155CC"/>
          </w:rPr>
          <w:t>http://www.igfsa.org</w:t>
        </w:r>
      </w:hyperlink>
      <w:r>
        <w:t xml:space="preserve">. </w:t>
      </w:r>
    </w:p>
    <w:p w14:paraId="2670B286" w14:textId="77777777" w:rsidR="005749D7" w:rsidRDefault="005749D7" w:rsidP="00315D85">
      <w:pPr>
        <w:ind w:left="567" w:right="701"/>
        <w:rPr>
          <w:rFonts w:eastAsia="Times New Roman" w:cs="Times New Roman"/>
        </w:rPr>
      </w:pPr>
    </w:p>
    <w:p w14:paraId="54312F74" w14:textId="77777777" w:rsidR="00401201" w:rsidRDefault="00401201" w:rsidP="00315D85">
      <w:pPr>
        <w:ind w:left="567" w:right="701"/>
        <w:rPr>
          <w:rFonts w:eastAsia="Times New Roman" w:cs="Times New Roman"/>
        </w:rPr>
      </w:pPr>
    </w:p>
    <w:p w14:paraId="4C7D74B4" w14:textId="77777777" w:rsidR="005749D7" w:rsidRPr="00315D85" w:rsidRDefault="005749D7" w:rsidP="00315D85">
      <w:pPr>
        <w:pStyle w:val="NormalWeb"/>
        <w:spacing w:before="0" w:beforeAutospacing="0" w:after="0" w:afterAutospacing="0"/>
        <w:ind w:left="567" w:right="701"/>
        <w:jc w:val="center"/>
        <w:rPr>
          <w:sz w:val="28"/>
          <w:szCs w:val="28"/>
        </w:rPr>
      </w:pPr>
      <w:r w:rsidRPr="00315D85">
        <w:rPr>
          <w:rFonts w:ascii="Garamond" w:hAnsi="Garamond"/>
          <w:i/>
          <w:iCs/>
          <w:color w:val="000000"/>
          <w:sz w:val="28"/>
          <w:szCs w:val="28"/>
        </w:rPr>
        <w:t>•  </w:t>
      </w:r>
      <w:r w:rsidRPr="00315D85">
        <w:rPr>
          <w:rFonts w:ascii="Garamond" w:hAnsi="Garamond"/>
          <w:b/>
          <w:bCs/>
          <w:color w:val="000000"/>
          <w:sz w:val="28"/>
          <w:szCs w:val="28"/>
        </w:rPr>
        <w:t>DAY One</w:t>
      </w:r>
      <w:r w:rsidRPr="00315D85">
        <w:rPr>
          <w:rFonts w:ascii="Garamond" w:hAnsi="Garamond"/>
          <w:i/>
          <w:iCs/>
          <w:color w:val="000000"/>
          <w:sz w:val="28"/>
          <w:szCs w:val="28"/>
        </w:rPr>
        <w:t xml:space="preserve">  •  </w:t>
      </w:r>
    </w:p>
    <w:p w14:paraId="03F2F5CF" w14:textId="77777777" w:rsidR="005749D7" w:rsidRDefault="005749D7" w:rsidP="00315D85">
      <w:pPr>
        <w:ind w:left="567" w:right="701"/>
        <w:rPr>
          <w:rFonts w:eastAsia="Times New Roman" w:cs="Times New Roman"/>
        </w:rPr>
      </w:pPr>
    </w:p>
    <w:p w14:paraId="1ACCC691" w14:textId="77777777" w:rsidR="005749D7" w:rsidRPr="005749D7" w:rsidRDefault="005749D7" w:rsidP="00315D85">
      <w:pPr>
        <w:ind w:left="567" w:right="701"/>
        <w:rPr>
          <w:rFonts w:cs="Times New Roman"/>
          <w:b/>
        </w:rPr>
      </w:pPr>
      <w:r w:rsidRPr="005749D7">
        <w:rPr>
          <w:b/>
        </w:rPr>
        <w:t>Enhancing ICANN Accountability and Governance Town Hall Meeting</w:t>
      </w:r>
    </w:p>
    <w:p w14:paraId="3CEA5D47" w14:textId="77777777" w:rsidR="005749D7" w:rsidRDefault="005749D7" w:rsidP="00315D85">
      <w:pPr>
        <w:ind w:left="567" w:right="701"/>
      </w:pPr>
      <w:r>
        <w:t xml:space="preserve">This meeting provided an opportunity for an open dialogue to address and clarify any concerns regarding to enhancing ICANN’s accountability and governance process. </w:t>
      </w:r>
    </w:p>
    <w:p w14:paraId="060933E7" w14:textId="77777777" w:rsidR="005749D7" w:rsidRDefault="005749D7" w:rsidP="00315D85">
      <w:pPr>
        <w:ind w:left="567" w:right="701"/>
        <w:rPr>
          <w:rFonts w:eastAsia="Times New Roman" w:cs="Times New Roman"/>
        </w:rPr>
      </w:pPr>
    </w:p>
    <w:p w14:paraId="2A18E6DB" w14:textId="77777777" w:rsidR="005749D7" w:rsidRPr="005749D7" w:rsidRDefault="005749D7" w:rsidP="00315D85">
      <w:pPr>
        <w:ind w:left="567" w:right="701"/>
        <w:rPr>
          <w:rFonts w:cs="Times New Roman"/>
          <w:b/>
        </w:rPr>
      </w:pPr>
      <w:r w:rsidRPr="005749D7">
        <w:rPr>
          <w:b/>
        </w:rPr>
        <w:t>WSIS+10 High-Level Event Information Session</w:t>
      </w:r>
    </w:p>
    <w:p w14:paraId="185D3368" w14:textId="1296F55F" w:rsidR="005749D7" w:rsidRDefault="005749D7" w:rsidP="00315D85">
      <w:pPr>
        <w:ind w:left="567" w:right="701"/>
      </w:pPr>
      <w:r>
        <w:t>This session on the World Summit on the Information Society High-level Event provided an opportunity for the IGF community to learn more about the outcomes of the event and its implications for the broader ecosystem.</w:t>
      </w:r>
    </w:p>
    <w:p w14:paraId="4A89DA13" w14:textId="77777777" w:rsidR="005749D7" w:rsidRDefault="005749D7" w:rsidP="00315D85">
      <w:pPr>
        <w:ind w:left="567" w:right="701"/>
        <w:rPr>
          <w:rFonts w:eastAsia="Times New Roman" w:cs="Times New Roman"/>
        </w:rPr>
      </w:pPr>
    </w:p>
    <w:p w14:paraId="7DF657BE" w14:textId="77777777" w:rsidR="00401201" w:rsidRDefault="00401201" w:rsidP="00315D85">
      <w:pPr>
        <w:ind w:left="567" w:right="701"/>
        <w:rPr>
          <w:rFonts w:eastAsia="Times New Roman" w:cs="Times New Roman"/>
        </w:rPr>
      </w:pPr>
    </w:p>
    <w:p w14:paraId="257FD4B5" w14:textId="77777777" w:rsidR="005749D7" w:rsidRPr="00315D85" w:rsidRDefault="005749D7" w:rsidP="00315D85">
      <w:pPr>
        <w:pStyle w:val="NormalWeb"/>
        <w:spacing w:before="0" w:beforeAutospacing="0" w:after="0" w:afterAutospacing="0"/>
        <w:ind w:left="567" w:right="701"/>
        <w:jc w:val="center"/>
        <w:rPr>
          <w:sz w:val="28"/>
          <w:szCs w:val="28"/>
        </w:rPr>
      </w:pPr>
      <w:r w:rsidRPr="00315D85">
        <w:rPr>
          <w:rFonts w:ascii="Garamond" w:hAnsi="Garamond"/>
          <w:i/>
          <w:iCs/>
          <w:color w:val="000000"/>
          <w:sz w:val="28"/>
          <w:szCs w:val="28"/>
        </w:rPr>
        <w:t>•   </w:t>
      </w:r>
      <w:r w:rsidRPr="00315D85">
        <w:rPr>
          <w:rFonts w:ascii="Garamond" w:hAnsi="Garamond"/>
          <w:b/>
          <w:bCs/>
          <w:color w:val="000000"/>
          <w:sz w:val="28"/>
          <w:szCs w:val="28"/>
        </w:rPr>
        <w:t>DAY Two</w:t>
      </w:r>
      <w:r w:rsidRPr="00315D85">
        <w:rPr>
          <w:rFonts w:ascii="Garamond" w:hAnsi="Garamond"/>
          <w:i/>
          <w:iCs/>
          <w:color w:val="000000"/>
          <w:sz w:val="28"/>
          <w:szCs w:val="28"/>
        </w:rPr>
        <w:t xml:space="preserve">  •  </w:t>
      </w:r>
    </w:p>
    <w:p w14:paraId="340FFA5F" w14:textId="77777777" w:rsidR="005749D7" w:rsidRDefault="005749D7" w:rsidP="00315D85">
      <w:pPr>
        <w:ind w:left="567" w:right="701"/>
        <w:rPr>
          <w:rFonts w:eastAsia="Times New Roman" w:cs="Times New Roman"/>
        </w:rPr>
      </w:pPr>
    </w:p>
    <w:p w14:paraId="6404E773" w14:textId="77777777" w:rsidR="005749D7" w:rsidRPr="005749D7" w:rsidRDefault="005749D7" w:rsidP="00315D85">
      <w:pPr>
        <w:ind w:left="567" w:right="701"/>
        <w:rPr>
          <w:rFonts w:cs="Times New Roman"/>
          <w:b/>
        </w:rPr>
      </w:pPr>
      <w:r w:rsidRPr="005749D7">
        <w:rPr>
          <w:b/>
        </w:rPr>
        <w:t xml:space="preserve">CSTD ten-year review of WSIS </w:t>
      </w:r>
    </w:p>
    <w:p w14:paraId="2B3017EC" w14:textId="5B33CE27" w:rsidR="00401201" w:rsidRDefault="005749D7" w:rsidP="00315D85">
      <w:pPr>
        <w:ind w:left="567" w:right="701"/>
      </w:pPr>
      <w:r>
        <w:t>The United Nations Conference on Trade and Development (UNCTAD), which performs the CSTD secretariat function, is currently facilitating the CSTD’s ten-year review of the progress made in the implementation of the WSIS outcomes, as mandated by the Economic and Social Council. UNCTAD encouraged IGF participants to contribute to through an online questionnaire at</w:t>
      </w:r>
      <w:hyperlink r:id="rId13" w:history="1">
        <w:r>
          <w:rPr>
            <w:rStyle w:val="Hyperlink"/>
            <w:color w:val="000000"/>
          </w:rPr>
          <w:t xml:space="preserve"> </w:t>
        </w:r>
        <w:r>
          <w:rPr>
            <w:rStyle w:val="Hyperlink"/>
            <w:color w:val="1155CC"/>
          </w:rPr>
          <w:t>http://unctad.org/en/Pages/CSTD/WSIS-10yearReview.aspx</w:t>
        </w:r>
      </w:hyperlink>
      <w:r>
        <w:t xml:space="preserve">. The deadline for contributions is </w:t>
      </w:r>
      <w:r>
        <w:rPr>
          <w:b/>
          <w:bCs/>
        </w:rPr>
        <w:t>15 September 2014</w:t>
      </w:r>
      <w:r>
        <w:t>.</w:t>
      </w:r>
    </w:p>
    <w:p w14:paraId="6F1276D9" w14:textId="7D39FC3F" w:rsidR="005749D7" w:rsidRPr="00401201" w:rsidRDefault="00401201" w:rsidP="00401201">
      <w:r>
        <w:br w:type="page"/>
      </w:r>
    </w:p>
    <w:p w14:paraId="326652ED" w14:textId="701F562D" w:rsidR="005749D7" w:rsidRPr="00315D85" w:rsidRDefault="005749D7" w:rsidP="00401201">
      <w:pPr>
        <w:pStyle w:val="NormalWeb"/>
        <w:spacing w:before="0" w:beforeAutospacing="0" w:after="0" w:afterAutospacing="0"/>
        <w:ind w:left="567" w:right="701"/>
        <w:jc w:val="center"/>
        <w:rPr>
          <w:sz w:val="28"/>
          <w:szCs w:val="28"/>
        </w:rPr>
      </w:pPr>
      <w:r w:rsidRPr="00315D85">
        <w:rPr>
          <w:rFonts w:ascii="Garamond" w:hAnsi="Garamond"/>
          <w:i/>
          <w:iCs/>
          <w:color w:val="000000"/>
          <w:sz w:val="28"/>
          <w:szCs w:val="28"/>
        </w:rPr>
        <w:lastRenderedPageBreak/>
        <w:t>•   </w:t>
      </w:r>
      <w:r w:rsidRPr="00315D85">
        <w:rPr>
          <w:rFonts w:ascii="Garamond" w:hAnsi="Garamond"/>
          <w:b/>
          <w:bCs/>
          <w:color w:val="000000"/>
          <w:sz w:val="28"/>
          <w:szCs w:val="28"/>
        </w:rPr>
        <w:t>DAY Three</w:t>
      </w:r>
      <w:r w:rsidRPr="00315D85">
        <w:rPr>
          <w:rFonts w:ascii="Garamond" w:hAnsi="Garamond"/>
          <w:i/>
          <w:iCs/>
          <w:color w:val="000000"/>
          <w:sz w:val="28"/>
          <w:szCs w:val="28"/>
        </w:rPr>
        <w:t xml:space="preserve">  •</w:t>
      </w:r>
    </w:p>
    <w:p w14:paraId="1A881DC0" w14:textId="77777777" w:rsidR="005749D7" w:rsidRDefault="005749D7" w:rsidP="00315D85">
      <w:pPr>
        <w:ind w:left="567" w:right="701"/>
        <w:rPr>
          <w:rFonts w:eastAsia="Times New Roman" w:cs="Times New Roman"/>
        </w:rPr>
      </w:pPr>
    </w:p>
    <w:p w14:paraId="72EA0572" w14:textId="77777777" w:rsidR="005749D7" w:rsidRPr="005749D7" w:rsidRDefault="005749D7" w:rsidP="00315D85">
      <w:pPr>
        <w:ind w:left="567" w:right="701"/>
        <w:rPr>
          <w:rFonts w:cs="Times New Roman"/>
          <w:b/>
        </w:rPr>
      </w:pPr>
      <w:r w:rsidRPr="005749D7">
        <w:rPr>
          <w:b/>
        </w:rPr>
        <w:t>UNESCO’s Comprehensive Study on the Internet</w:t>
      </w:r>
    </w:p>
    <w:p w14:paraId="16DFD72F" w14:textId="74B5FAB2" w:rsidR="005749D7" w:rsidRDefault="005749D7" w:rsidP="00315D85">
      <w:pPr>
        <w:ind w:left="567" w:right="701"/>
      </w:pPr>
      <w:r>
        <w:t xml:space="preserve">The United Nations Educational, Scientific and Cultural Organization, a long-standing IGF supporter, asked stakeholders in Istanbul to contribute to its Internet study which covers issues related to access to information and knowledge, freedom of expression, privacy, and ethical dimensions of the information society. UNESCO encouraged all IGF participants to contribute to the study, which is open for comments until </w:t>
      </w:r>
      <w:r>
        <w:rPr>
          <w:b/>
          <w:bCs/>
        </w:rPr>
        <w:t>30 November 2014</w:t>
      </w:r>
      <w:r>
        <w:t xml:space="preserve">. The study is available at </w:t>
      </w:r>
      <w:hyperlink r:id="rId14" w:history="1">
        <w:r>
          <w:rPr>
            <w:rStyle w:val="Hyperlink"/>
            <w:color w:val="1155CC"/>
          </w:rPr>
          <w:t>http://www.unesco.org/new/en/communication-and-information/crosscutting-priorities/unesco-internet-study</w:t>
        </w:r>
      </w:hyperlink>
      <w:r>
        <w:t xml:space="preserve">. </w:t>
      </w:r>
    </w:p>
    <w:p w14:paraId="327D5ED1" w14:textId="77777777" w:rsidR="005749D7" w:rsidRDefault="005749D7" w:rsidP="00315D85">
      <w:pPr>
        <w:ind w:left="567" w:right="701"/>
        <w:rPr>
          <w:b/>
        </w:rPr>
      </w:pPr>
    </w:p>
    <w:p w14:paraId="244EE7CA" w14:textId="77777777" w:rsidR="005749D7" w:rsidRPr="005749D7" w:rsidRDefault="005749D7" w:rsidP="00315D85">
      <w:pPr>
        <w:ind w:left="567" w:right="701"/>
        <w:rPr>
          <w:b/>
        </w:rPr>
      </w:pPr>
      <w:r w:rsidRPr="005749D7">
        <w:rPr>
          <w:b/>
        </w:rPr>
        <w:t>African Declaration on Internet Rights and Freedoms</w:t>
      </w:r>
    </w:p>
    <w:p w14:paraId="021EEF54" w14:textId="43880C17" w:rsidR="005749D7" w:rsidRDefault="005749D7" w:rsidP="00315D85">
      <w:pPr>
        <w:ind w:left="567" w:right="701"/>
      </w:pPr>
      <w:r>
        <w:t>The declaration, which is a Pan-African initiative to promote human rights standa</w:t>
      </w:r>
      <w:r w:rsidR="00BE6BE7">
        <w:t>rds and openness principles in I</w:t>
      </w:r>
      <w:r>
        <w:t xml:space="preserve">nternet-policy making on the continent, was launched at the 2014 IGF. The declaration is available at </w:t>
      </w:r>
      <w:hyperlink r:id="rId15" w:history="1">
        <w:r>
          <w:rPr>
            <w:rStyle w:val="Hyperlink"/>
            <w:color w:val="1155CC"/>
          </w:rPr>
          <w:t>http://africaninternetrights.org</w:t>
        </w:r>
      </w:hyperlink>
      <w:r>
        <w:t>.  </w:t>
      </w:r>
    </w:p>
    <w:p w14:paraId="77D00CCE" w14:textId="77777777" w:rsidR="005749D7" w:rsidRDefault="005749D7" w:rsidP="00315D85">
      <w:pPr>
        <w:ind w:left="567" w:right="701"/>
        <w:rPr>
          <w:rFonts w:eastAsia="Times New Roman" w:cs="Times New Roman"/>
        </w:rPr>
      </w:pPr>
    </w:p>
    <w:p w14:paraId="6E9115B9" w14:textId="77777777" w:rsidR="00401201" w:rsidRDefault="00401201" w:rsidP="00315D85">
      <w:pPr>
        <w:ind w:left="567" w:right="701"/>
        <w:rPr>
          <w:rFonts w:eastAsia="Times New Roman" w:cs="Times New Roman"/>
        </w:rPr>
      </w:pPr>
    </w:p>
    <w:p w14:paraId="038829E3" w14:textId="77777777" w:rsidR="005749D7" w:rsidRPr="00315D85" w:rsidRDefault="005749D7" w:rsidP="00315D85">
      <w:pPr>
        <w:pStyle w:val="NormalWeb"/>
        <w:spacing w:before="0" w:beforeAutospacing="0" w:after="0" w:afterAutospacing="0"/>
        <w:ind w:left="567" w:right="701"/>
        <w:jc w:val="center"/>
        <w:rPr>
          <w:sz w:val="28"/>
          <w:szCs w:val="28"/>
        </w:rPr>
      </w:pPr>
      <w:r w:rsidRPr="00315D85">
        <w:rPr>
          <w:rFonts w:ascii="Garamond" w:hAnsi="Garamond"/>
          <w:i/>
          <w:iCs/>
          <w:color w:val="000000"/>
          <w:sz w:val="28"/>
          <w:szCs w:val="28"/>
        </w:rPr>
        <w:t>•   </w:t>
      </w:r>
      <w:r w:rsidRPr="00315D85">
        <w:rPr>
          <w:rFonts w:ascii="Garamond" w:hAnsi="Garamond"/>
          <w:b/>
          <w:bCs/>
          <w:color w:val="000000"/>
          <w:sz w:val="28"/>
          <w:szCs w:val="28"/>
        </w:rPr>
        <w:t>DAY Four</w:t>
      </w:r>
      <w:r w:rsidRPr="00315D85">
        <w:rPr>
          <w:rFonts w:ascii="Garamond" w:hAnsi="Garamond"/>
          <w:i/>
          <w:iCs/>
          <w:color w:val="000000"/>
          <w:sz w:val="28"/>
          <w:szCs w:val="28"/>
        </w:rPr>
        <w:t xml:space="preserve">  •  </w:t>
      </w:r>
    </w:p>
    <w:p w14:paraId="19BB9500" w14:textId="77777777" w:rsidR="005749D7" w:rsidRDefault="005749D7" w:rsidP="00315D85">
      <w:pPr>
        <w:ind w:left="567" w:right="701"/>
        <w:rPr>
          <w:rFonts w:eastAsia="Times New Roman" w:cs="Times New Roman"/>
        </w:rPr>
      </w:pPr>
    </w:p>
    <w:p w14:paraId="4C4FE8EE" w14:textId="77777777" w:rsidR="005749D7" w:rsidRPr="005749D7" w:rsidRDefault="005749D7" w:rsidP="00315D85">
      <w:pPr>
        <w:ind w:left="567" w:right="701"/>
        <w:rPr>
          <w:rFonts w:cs="Times New Roman"/>
          <w:b/>
        </w:rPr>
      </w:pPr>
      <w:r w:rsidRPr="005749D7">
        <w:rPr>
          <w:b/>
        </w:rPr>
        <w:t>ITU and UNICEF Guidelines for Industry on Child Online Protection</w:t>
      </w:r>
    </w:p>
    <w:p w14:paraId="30A7DAB0" w14:textId="1F6C364E" w:rsidR="005749D7" w:rsidRDefault="005749D7" w:rsidP="00315D85">
      <w:pPr>
        <w:ind w:left="567" w:right="701"/>
      </w:pPr>
      <w:r>
        <w:t xml:space="preserve">The International Telecommunications Union and the United Nations Children’s Fund released the updated version of the Guidelines for Industry on Child Online Protection. The Guidelines provide advice on how the ICT industry can work to help ensure children’s safety when using the Internet or any of the associated technologies or devices that can connect to it. The guidelines are available at </w:t>
      </w:r>
      <w:hyperlink r:id="rId16" w:history="1">
        <w:r>
          <w:rPr>
            <w:rStyle w:val="Hyperlink"/>
            <w:color w:val="1155CC"/>
          </w:rPr>
          <w:t>http://www.itu.int/en/cop/Pages/guidelines.aspx</w:t>
        </w:r>
      </w:hyperlink>
      <w:r>
        <w:t xml:space="preserve">. </w:t>
      </w:r>
    </w:p>
    <w:p w14:paraId="7A8A4724" w14:textId="77777777" w:rsidR="00315D85" w:rsidRDefault="00315D85" w:rsidP="00315D85">
      <w:pPr>
        <w:spacing w:after="240"/>
        <w:rPr>
          <w:rFonts w:ascii="Times" w:eastAsia="Times New Roman" w:hAnsi="Times" w:cs="Times New Roman"/>
          <w:sz w:val="20"/>
          <w:szCs w:val="20"/>
          <w:lang w:val="en-AU"/>
        </w:rPr>
      </w:pPr>
    </w:p>
    <w:p w14:paraId="48F2897D" w14:textId="77777777" w:rsidR="00533162" w:rsidRDefault="00533162" w:rsidP="00315D85">
      <w:pPr>
        <w:spacing w:after="240"/>
        <w:rPr>
          <w:rFonts w:ascii="Times" w:eastAsia="Times New Roman" w:hAnsi="Times" w:cs="Times New Roman"/>
          <w:sz w:val="20"/>
          <w:szCs w:val="20"/>
          <w:lang w:val="en-AU"/>
        </w:rPr>
      </w:pPr>
    </w:p>
    <w:p w14:paraId="1B9159E1" w14:textId="77777777" w:rsidR="00533162" w:rsidRDefault="00533162" w:rsidP="00315D85">
      <w:pPr>
        <w:spacing w:after="240"/>
        <w:rPr>
          <w:rFonts w:ascii="Times" w:eastAsia="Times New Roman" w:hAnsi="Times" w:cs="Times New Roman"/>
          <w:sz w:val="20"/>
          <w:szCs w:val="20"/>
          <w:lang w:val="en-AU"/>
        </w:rPr>
      </w:pPr>
    </w:p>
    <w:p w14:paraId="6E63721A" w14:textId="77777777" w:rsidR="00315D85" w:rsidRDefault="00315D85" w:rsidP="00315D85">
      <w:pPr>
        <w:pBdr>
          <w:top w:val="single" w:sz="4" w:space="1" w:color="auto"/>
        </w:pBdr>
      </w:pPr>
    </w:p>
    <w:p w14:paraId="0B90819A" w14:textId="77777777" w:rsidR="00AA08BE" w:rsidRDefault="00AA08BE" w:rsidP="00AA08BE">
      <w:pPr>
        <w:pStyle w:val="Heading2"/>
      </w:pPr>
      <w:r>
        <w:t>Key IGF 2014 statistics</w:t>
      </w:r>
    </w:p>
    <w:p w14:paraId="41C89B5B" w14:textId="77777777" w:rsidR="00AA08BE" w:rsidRPr="00041393" w:rsidRDefault="00AA08BE" w:rsidP="00AA08BE">
      <w:pPr>
        <w:jc w:val="center"/>
        <w:rPr>
          <w:rFonts w:ascii="Times" w:hAnsi="Times" w:cs="Times New Roman"/>
          <w:sz w:val="20"/>
          <w:szCs w:val="20"/>
          <w:lang w:val="en-AU"/>
        </w:rPr>
      </w:pPr>
    </w:p>
    <w:p w14:paraId="47FCC48E" w14:textId="5D747825" w:rsidR="00AA08BE" w:rsidRPr="00F926BA" w:rsidRDefault="008E17C6" w:rsidP="00215FC5">
      <w:pPr>
        <w:jc w:val="center"/>
        <w:rPr>
          <w:lang w:val="en-AU"/>
        </w:rPr>
      </w:pPr>
      <w:r>
        <w:rPr>
          <w:lang w:val="en-AU"/>
        </w:rPr>
        <w:t>•  2,</w:t>
      </w:r>
      <w:r w:rsidR="00215FC5">
        <w:rPr>
          <w:lang w:val="en-AU"/>
        </w:rPr>
        <w:t>405</w:t>
      </w:r>
      <w:r w:rsidR="00AA08BE" w:rsidRPr="00041393">
        <w:rPr>
          <w:lang w:val="en-AU"/>
        </w:rPr>
        <w:t xml:space="preserve"> onsite participants  •  </w:t>
      </w:r>
      <w:r w:rsidR="00AA08BE">
        <w:rPr>
          <w:lang w:val="en-AU"/>
        </w:rPr>
        <w:t>1163</w:t>
      </w:r>
      <w:r w:rsidR="00AA08BE" w:rsidRPr="00041393">
        <w:rPr>
          <w:lang w:val="en-AU"/>
        </w:rPr>
        <w:t xml:space="preserve"> remote participants  •</w:t>
      </w:r>
    </w:p>
    <w:p w14:paraId="470D54E6" w14:textId="77777777" w:rsidR="00AA08BE" w:rsidRPr="00D3340E" w:rsidRDefault="00AA08BE" w:rsidP="00AA08BE">
      <w:pPr>
        <w:rPr>
          <w:rFonts w:ascii="Times" w:eastAsia="Times New Roman" w:hAnsi="Times" w:cs="Times New Roman"/>
          <w:sz w:val="20"/>
          <w:szCs w:val="20"/>
          <w:lang w:val="en-AU"/>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08"/>
        <w:gridCol w:w="284"/>
        <w:gridCol w:w="2410"/>
        <w:gridCol w:w="2268"/>
      </w:tblGrid>
      <w:tr w:rsidR="00AA08BE" w:rsidRPr="00F926BA" w14:paraId="5198AEE2" w14:textId="77777777" w:rsidTr="00AA08BE">
        <w:tc>
          <w:tcPr>
            <w:tcW w:w="4110" w:type="dxa"/>
            <w:gridSpan w:val="2"/>
          </w:tcPr>
          <w:p w14:paraId="657EE92C" w14:textId="77777777" w:rsidR="00AA08BE" w:rsidRPr="00F926BA" w:rsidRDefault="00AA08BE" w:rsidP="00AA08BE">
            <w:pPr>
              <w:rPr>
                <w:rFonts w:ascii="Times" w:hAnsi="Times" w:cs="Times New Roman"/>
                <w:b/>
                <w:lang w:val="en-AU"/>
              </w:rPr>
            </w:pPr>
            <w:r w:rsidRPr="00F926BA">
              <w:rPr>
                <w:b/>
                <w:lang w:val="en-AU"/>
              </w:rPr>
              <w:t>Onsite Participation by Region</w:t>
            </w:r>
          </w:p>
          <w:p w14:paraId="50C43338" w14:textId="77777777" w:rsidR="00AA08BE" w:rsidRPr="00F926BA" w:rsidRDefault="00AA08BE" w:rsidP="00AA08BE">
            <w:pPr>
              <w:rPr>
                <w:rFonts w:ascii="Times" w:eastAsia="Times New Roman" w:hAnsi="Times" w:cs="Times New Roman"/>
                <w:b/>
                <w:sz w:val="1"/>
                <w:lang w:val="en-AU"/>
              </w:rPr>
            </w:pPr>
            <w:r w:rsidRPr="00F926BA">
              <w:rPr>
                <w:rFonts w:ascii="Times" w:eastAsia="Times New Roman" w:hAnsi="Times" w:cs="Times New Roman"/>
                <w:b/>
                <w:sz w:val="1"/>
                <w:lang w:val="en-AU"/>
              </w:rPr>
              <w:t>f</w:t>
            </w:r>
          </w:p>
        </w:tc>
        <w:tc>
          <w:tcPr>
            <w:tcW w:w="284" w:type="dxa"/>
          </w:tcPr>
          <w:p w14:paraId="11EDDD50" w14:textId="77777777" w:rsidR="00AA08BE" w:rsidRPr="00F926BA" w:rsidRDefault="00AA08BE" w:rsidP="00AA08BE">
            <w:pPr>
              <w:rPr>
                <w:rFonts w:ascii="Times" w:eastAsia="Times New Roman" w:hAnsi="Times" w:cs="Times New Roman"/>
                <w:b/>
                <w:sz w:val="1"/>
                <w:lang w:val="en-AU"/>
              </w:rPr>
            </w:pPr>
          </w:p>
        </w:tc>
        <w:tc>
          <w:tcPr>
            <w:tcW w:w="4678" w:type="dxa"/>
            <w:gridSpan w:val="2"/>
          </w:tcPr>
          <w:p w14:paraId="6D50041A" w14:textId="77777777" w:rsidR="00AA08BE" w:rsidRPr="00F926BA" w:rsidRDefault="00AA08BE" w:rsidP="00AA08BE">
            <w:pPr>
              <w:rPr>
                <w:rFonts w:ascii="Times" w:hAnsi="Times" w:cs="Times New Roman"/>
                <w:b/>
                <w:lang w:val="en-AU"/>
              </w:rPr>
            </w:pPr>
            <w:r w:rsidRPr="00F926BA">
              <w:rPr>
                <w:b/>
                <w:lang w:val="en-AU"/>
              </w:rPr>
              <w:t>Onsite Participation by Stakeholder Group</w:t>
            </w:r>
          </w:p>
          <w:p w14:paraId="31BA4292" w14:textId="77777777" w:rsidR="00AA08BE" w:rsidRPr="00F926BA" w:rsidRDefault="00AA08BE" w:rsidP="00AA08BE">
            <w:pPr>
              <w:rPr>
                <w:rFonts w:ascii="Times" w:eastAsia="Times New Roman" w:hAnsi="Times" w:cs="Times New Roman"/>
                <w:b/>
                <w:sz w:val="1"/>
                <w:lang w:val="en-AU"/>
              </w:rPr>
            </w:pPr>
            <w:r w:rsidRPr="00F926BA">
              <w:rPr>
                <w:rFonts w:ascii="Times" w:eastAsia="Times New Roman" w:hAnsi="Times" w:cs="Times New Roman"/>
                <w:b/>
                <w:sz w:val="1"/>
                <w:lang w:val="en-AU"/>
              </w:rPr>
              <w:t>f</w:t>
            </w:r>
          </w:p>
        </w:tc>
      </w:tr>
      <w:tr w:rsidR="00AA08BE" w:rsidRPr="00F926BA" w14:paraId="051C75DE" w14:textId="77777777" w:rsidTr="00AA08BE">
        <w:tc>
          <w:tcPr>
            <w:tcW w:w="3402" w:type="dxa"/>
          </w:tcPr>
          <w:p w14:paraId="6979F7C1" w14:textId="77777777" w:rsidR="00AA08BE" w:rsidRPr="00F926BA" w:rsidRDefault="00AA08BE" w:rsidP="00AA08BE">
            <w:pPr>
              <w:rPr>
                <w:rFonts w:ascii="Times" w:hAnsi="Times" w:cs="Times New Roman"/>
                <w:lang w:val="en-AU"/>
              </w:rPr>
            </w:pPr>
            <w:r>
              <w:rPr>
                <w:lang w:val="en-AU"/>
              </w:rPr>
              <w:t>Africa</w:t>
            </w:r>
          </w:p>
        </w:tc>
        <w:tc>
          <w:tcPr>
            <w:tcW w:w="708" w:type="dxa"/>
          </w:tcPr>
          <w:p w14:paraId="07229749" w14:textId="2434766B" w:rsidR="00AA08BE" w:rsidRPr="00F926BA" w:rsidRDefault="00215FC5" w:rsidP="00AA08BE">
            <w:pPr>
              <w:rPr>
                <w:rFonts w:ascii="Times" w:hAnsi="Times" w:cs="Times New Roman"/>
                <w:lang w:val="en-AU"/>
              </w:rPr>
            </w:pPr>
            <w:r>
              <w:rPr>
                <w:lang w:val="en-AU"/>
              </w:rPr>
              <w:t>190</w:t>
            </w:r>
          </w:p>
        </w:tc>
        <w:tc>
          <w:tcPr>
            <w:tcW w:w="284" w:type="dxa"/>
          </w:tcPr>
          <w:p w14:paraId="55127BC6" w14:textId="77777777" w:rsidR="00AA08BE" w:rsidRPr="00F926BA" w:rsidRDefault="00AA08BE" w:rsidP="00AA08BE">
            <w:pPr>
              <w:rPr>
                <w:rFonts w:ascii="Times" w:eastAsia="Times New Roman" w:hAnsi="Times" w:cs="Times New Roman"/>
                <w:sz w:val="1"/>
                <w:lang w:val="en-AU"/>
              </w:rPr>
            </w:pPr>
          </w:p>
        </w:tc>
        <w:tc>
          <w:tcPr>
            <w:tcW w:w="2410" w:type="dxa"/>
          </w:tcPr>
          <w:p w14:paraId="412333DF" w14:textId="61ACF4D7" w:rsidR="00AA08BE" w:rsidRPr="00F926BA" w:rsidRDefault="008E17C6" w:rsidP="00AA08BE">
            <w:pPr>
              <w:rPr>
                <w:rFonts w:ascii="Times" w:hAnsi="Times" w:cs="Times New Roman"/>
                <w:lang w:val="en-AU"/>
              </w:rPr>
            </w:pPr>
            <w:r w:rsidRPr="00D3340E">
              <w:rPr>
                <w:lang w:val="en-AU"/>
              </w:rPr>
              <w:t>Civil Society</w:t>
            </w:r>
          </w:p>
        </w:tc>
        <w:tc>
          <w:tcPr>
            <w:tcW w:w="2268" w:type="dxa"/>
          </w:tcPr>
          <w:p w14:paraId="7E89BCC9" w14:textId="39E776E2" w:rsidR="00AA08BE" w:rsidRPr="00F926BA" w:rsidRDefault="00215FC5" w:rsidP="00AA08BE">
            <w:pPr>
              <w:rPr>
                <w:rFonts w:ascii="Times" w:hAnsi="Times" w:cs="Times New Roman"/>
                <w:lang w:val="en-AU"/>
              </w:rPr>
            </w:pPr>
            <w:r>
              <w:rPr>
                <w:lang w:val="en-AU"/>
              </w:rPr>
              <w:t>779</w:t>
            </w:r>
          </w:p>
        </w:tc>
      </w:tr>
      <w:tr w:rsidR="00AA08BE" w:rsidRPr="00F926BA" w14:paraId="71436964" w14:textId="77777777" w:rsidTr="00AA08BE">
        <w:tc>
          <w:tcPr>
            <w:tcW w:w="3402" w:type="dxa"/>
          </w:tcPr>
          <w:p w14:paraId="2FE26917" w14:textId="77777777" w:rsidR="00AA08BE" w:rsidRPr="00F926BA" w:rsidRDefault="00AA08BE" w:rsidP="00AA08BE">
            <w:pPr>
              <w:rPr>
                <w:rFonts w:ascii="Times" w:hAnsi="Times" w:cs="Times New Roman"/>
                <w:lang w:val="en-AU"/>
              </w:rPr>
            </w:pPr>
            <w:r w:rsidRPr="00D3340E">
              <w:rPr>
                <w:lang w:val="en-AU"/>
              </w:rPr>
              <w:t>Asia Pacific</w:t>
            </w:r>
          </w:p>
        </w:tc>
        <w:tc>
          <w:tcPr>
            <w:tcW w:w="708" w:type="dxa"/>
          </w:tcPr>
          <w:p w14:paraId="1BE66DFA" w14:textId="0ED738B7" w:rsidR="00AA08BE" w:rsidRPr="00F926BA" w:rsidRDefault="00AA08BE" w:rsidP="00215FC5">
            <w:pPr>
              <w:rPr>
                <w:rFonts w:ascii="Times" w:hAnsi="Times" w:cs="Times New Roman"/>
                <w:lang w:val="en-AU"/>
              </w:rPr>
            </w:pPr>
            <w:r w:rsidRPr="00D3340E">
              <w:rPr>
                <w:lang w:val="en-AU"/>
              </w:rPr>
              <w:t>4</w:t>
            </w:r>
            <w:r w:rsidR="00215FC5">
              <w:rPr>
                <w:lang w:val="en-AU"/>
              </w:rPr>
              <w:t>05</w:t>
            </w:r>
          </w:p>
        </w:tc>
        <w:tc>
          <w:tcPr>
            <w:tcW w:w="284" w:type="dxa"/>
          </w:tcPr>
          <w:p w14:paraId="7215C265" w14:textId="77777777" w:rsidR="00AA08BE" w:rsidRPr="00F926BA" w:rsidRDefault="00AA08BE" w:rsidP="00AA08BE">
            <w:pPr>
              <w:rPr>
                <w:rFonts w:ascii="Times" w:eastAsia="Times New Roman" w:hAnsi="Times" w:cs="Times New Roman"/>
                <w:sz w:val="1"/>
                <w:lang w:val="en-AU"/>
              </w:rPr>
            </w:pPr>
          </w:p>
        </w:tc>
        <w:tc>
          <w:tcPr>
            <w:tcW w:w="2410" w:type="dxa"/>
          </w:tcPr>
          <w:p w14:paraId="47CF8DD5" w14:textId="5E7EE765" w:rsidR="00AA08BE" w:rsidRPr="00F926BA" w:rsidRDefault="008E17C6" w:rsidP="00AA08BE">
            <w:pPr>
              <w:rPr>
                <w:rFonts w:ascii="Times" w:hAnsi="Times" w:cs="Times New Roman"/>
                <w:lang w:val="en-AU"/>
              </w:rPr>
            </w:pPr>
            <w:r w:rsidRPr="00D3340E">
              <w:rPr>
                <w:lang w:val="en-AU"/>
              </w:rPr>
              <w:t>Government</w:t>
            </w:r>
          </w:p>
        </w:tc>
        <w:tc>
          <w:tcPr>
            <w:tcW w:w="2268" w:type="dxa"/>
          </w:tcPr>
          <w:p w14:paraId="00810903" w14:textId="35CA619E" w:rsidR="00AA08BE" w:rsidRPr="008E17C6" w:rsidRDefault="008E17C6" w:rsidP="00215FC5">
            <w:pPr>
              <w:rPr>
                <w:lang w:val="en-AU"/>
              </w:rPr>
            </w:pPr>
            <w:r w:rsidRPr="008E17C6">
              <w:rPr>
                <w:lang w:val="en-AU"/>
              </w:rPr>
              <w:t>5</w:t>
            </w:r>
            <w:r w:rsidR="00215FC5">
              <w:rPr>
                <w:lang w:val="en-AU"/>
              </w:rPr>
              <w:t>71</w:t>
            </w:r>
          </w:p>
        </w:tc>
      </w:tr>
      <w:tr w:rsidR="00AA08BE" w:rsidRPr="00F926BA" w14:paraId="032BFB20" w14:textId="77777777" w:rsidTr="00AA08BE">
        <w:tc>
          <w:tcPr>
            <w:tcW w:w="3402" w:type="dxa"/>
          </w:tcPr>
          <w:p w14:paraId="13C33927" w14:textId="77777777" w:rsidR="00AA08BE" w:rsidRDefault="00AA08BE" w:rsidP="00AA08BE">
            <w:pPr>
              <w:rPr>
                <w:lang w:val="en-AU"/>
              </w:rPr>
            </w:pPr>
            <w:r w:rsidRPr="00D3340E">
              <w:rPr>
                <w:lang w:val="en-AU"/>
              </w:rPr>
              <w:t>Eastern Europe</w:t>
            </w:r>
          </w:p>
          <w:p w14:paraId="422F0F19" w14:textId="3678B984" w:rsidR="008E17C6" w:rsidRPr="00F926BA" w:rsidRDefault="008E17C6" w:rsidP="00AA08BE">
            <w:pPr>
              <w:rPr>
                <w:rFonts w:ascii="Times" w:hAnsi="Times" w:cs="Times New Roman"/>
                <w:lang w:val="en-AU"/>
              </w:rPr>
            </w:pPr>
            <w:r w:rsidRPr="00D3340E">
              <w:rPr>
                <w:lang w:val="en-AU"/>
              </w:rPr>
              <w:t>Host Country</w:t>
            </w:r>
          </w:p>
        </w:tc>
        <w:tc>
          <w:tcPr>
            <w:tcW w:w="708" w:type="dxa"/>
          </w:tcPr>
          <w:p w14:paraId="4F3B44B7" w14:textId="361D9AF3" w:rsidR="00AA08BE" w:rsidRDefault="00AA08BE" w:rsidP="00215FC5">
            <w:pPr>
              <w:rPr>
                <w:lang w:val="en-AU"/>
              </w:rPr>
            </w:pPr>
            <w:r w:rsidRPr="00D3340E">
              <w:rPr>
                <w:lang w:val="en-AU"/>
              </w:rPr>
              <w:t>1</w:t>
            </w:r>
            <w:r w:rsidR="00215FC5">
              <w:rPr>
                <w:lang w:val="en-AU"/>
              </w:rPr>
              <w:t>34</w:t>
            </w:r>
          </w:p>
          <w:p w14:paraId="22631B82" w14:textId="7E4D97F9" w:rsidR="008E17C6" w:rsidRPr="00F926BA" w:rsidRDefault="008E17C6" w:rsidP="00215FC5">
            <w:pPr>
              <w:rPr>
                <w:rFonts w:ascii="Times" w:hAnsi="Times" w:cs="Times New Roman"/>
                <w:lang w:val="en-AU"/>
              </w:rPr>
            </w:pPr>
            <w:r>
              <w:rPr>
                <w:lang w:val="en-AU"/>
              </w:rPr>
              <w:t>7</w:t>
            </w:r>
            <w:r w:rsidR="00215FC5">
              <w:rPr>
                <w:lang w:val="en-AU"/>
              </w:rPr>
              <w:t>45</w:t>
            </w:r>
          </w:p>
        </w:tc>
        <w:tc>
          <w:tcPr>
            <w:tcW w:w="284" w:type="dxa"/>
          </w:tcPr>
          <w:p w14:paraId="4F231381" w14:textId="77777777" w:rsidR="00AA08BE" w:rsidRPr="00F926BA" w:rsidRDefault="00AA08BE" w:rsidP="00AA08BE">
            <w:pPr>
              <w:rPr>
                <w:rFonts w:ascii="Times" w:eastAsia="Times New Roman" w:hAnsi="Times" w:cs="Times New Roman"/>
                <w:sz w:val="1"/>
                <w:lang w:val="en-AU"/>
              </w:rPr>
            </w:pPr>
          </w:p>
        </w:tc>
        <w:tc>
          <w:tcPr>
            <w:tcW w:w="2410" w:type="dxa"/>
          </w:tcPr>
          <w:p w14:paraId="0FB02E6F" w14:textId="12758260" w:rsidR="00AA08BE" w:rsidRPr="00294371" w:rsidRDefault="008E17C6" w:rsidP="00AA08BE">
            <w:pPr>
              <w:rPr>
                <w:rFonts w:cs="Times New Roman"/>
                <w:lang w:val="en-AU"/>
              </w:rPr>
            </w:pPr>
            <w:r w:rsidRPr="00294371">
              <w:rPr>
                <w:rFonts w:cs="Times New Roman"/>
                <w:lang w:val="en-AU"/>
              </w:rPr>
              <w:t>Intergovernmental Organizations</w:t>
            </w:r>
          </w:p>
        </w:tc>
        <w:tc>
          <w:tcPr>
            <w:tcW w:w="2268" w:type="dxa"/>
          </w:tcPr>
          <w:p w14:paraId="74F20162" w14:textId="1DB3EDCA" w:rsidR="00AA08BE" w:rsidRPr="00F926BA" w:rsidRDefault="00215FC5" w:rsidP="00215FC5">
            <w:pPr>
              <w:rPr>
                <w:rFonts w:ascii="Times" w:hAnsi="Times" w:cs="Times New Roman"/>
                <w:lang w:val="en-AU"/>
              </w:rPr>
            </w:pPr>
            <w:r>
              <w:rPr>
                <w:lang w:val="en-AU"/>
              </w:rPr>
              <w:t xml:space="preserve"> </w:t>
            </w:r>
            <w:r w:rsidR="008E17C6">
              <w:rPr>
                <w:lang w:val="en-AU"/>
              </w:rPr>
              <w:t>9</w:t>
            </w:r>
            <w:r>
              <w:rPr>
                <w:lang w:val="en-AU"/>
              </w:rPr>
              <w:t>6</w:t>
            </w:r>
          </w:p>
        </w:tc>
      </w:tr>
      <w:tr w:rsidR="00AA08BE" w:rsidRPr="00F926BA" w14:paraId="5A56F511" w14:textId="77777777" w:rsidTr="00AA08BE">
        <w:tc>
          <w:tcPr>
            <w:tcW w:w="3402" w:type="dxa"/>
          </w:tcPr>
          <w:p w14:paraId="494DAB1A" w14:textId="76E96594" w:rsidR="00AA08BE" w:rsidRPr="00F926BA" w:rsidRDefault="008E17C6" w:rsidP="00AA08BE">
            <w:pPr>
              <w:rPr>
                <w:rFonts w:ascii="Times" w:hAnsi="Times" w:cs="Times New Roman"/>
                <w:lang w:val="en-AU"/>
              </w:rPr>
            </w:pPr>
            <w:r w:rsidRPr="00D3340E">
              <w:rPr>
                <w:lang w:val="en-AU"/>
              </w:rPr>
              <w:t>Latin America and the Caribbean</w:t>
            </w:r>
          </w:p>
        </w:tc>
        <w:tc>
          <w:tcPr>
            <w:tcW w:w="708" w:type="dxa"/>
          </w:tcPr>
          <w:p w14:paraId="43A9F24B" w14:textId="1246320A" w:rsidR="00AA08BE" w:rsidRPr="00F926BA" w:rsidRDefault="008E17C6" w:rsidP="00215FC5">
            <w:pPr>
              <w:rPr>
                <w:rFonts w:ascii="Times" w:hAnsi="Times" w:cs="Times New Roman"/>
                <w:lang w:val="en-AU"/>
              </w:rPr>
            </w:pPr>
            <w:r w:rsidRPr="00D3340E">
              <w:rPr>
                <w:lang w:val="en-AU"/>
              </w:rPr>
              <w:t>15</w:t>
            </w:r>
            <w:r w:rsidR="00215FC5">
              <w:rPr>
                <w:lang w:val="en-AU"/>
              </w:rPr>
              <w:t>0</w:t>
            </w:r>
          </w:p>
        </w:tc>
        <w:tc>
          <w:tcPr>
            <w:tcW w:w="284" w:type="dxa"/>
          </w:tcPr>
          <w:p w14:paraId="69C0FCAA" w14:textId="77777777" w:rsidR="00AA08BE" w:rsidRPr="00F926BA" w:rsidRDefault="00AA08BE" w:rsidP="00AA08BE">
            <w:pPr>
              <w:rPr>
                <w:rFonts w:ascii="Times" w:eastAsia="Times New Roman" w:hAnsi="Times" w:cs="Times New Roman"/>
                <w:sz w:val="1"/>
                <w:lang w:val="en-AU"/>
              </w:rPr>
            </w:pPr>
          </w:p>
        </w:tc>
        <w:tc>
          <w:tcPr>
            <w:tcW w:w="2410" w:type="dxa"/>
          </w:tcPr>
          <w:p w14:paraId="2BA9E24C" w14:textId="77777777" w:rsidR="00AA08BE" w:rsidRPr="00F926BA" w:rsidRDefault="00AA08BE" w:rsidP="00AA08BE">
            <w:pPr>
              <w:rPr>
                <w:rFonts w:ascii="Times" w:hAnsi="Times" w:cs="Times New Roman"/>
                <w:lang w:val="en-AU"/>
              </w:rPr>
            </w:pPr>
            <w:r w:rsidRPr="00D3340E">
              <w:rPr>
                <w:lang w:val="en-AU"/>
              </w:rPr>
              <w:t>Private Sector</w:t>
            </w:r>
          </w:p>
        </w:tc>
        <w:tc>
          <w:tcPr>
            <w:tcW w:w="2268" w:type="dxa"/>
          </w:tcPr>
          <w:p w14:paraId="2F5B3D99" w14:textId="7D319061" w:rsidR="00AA08BE" w:rsidRPr="00F926BA" w:rsidRDefault="008E17C6" w:rsidP="00215FC5">
            <w:pPr>
              <w:rPr>
                <w:rFonts w:ascii="Times" w:hAnsi="Times" w:cs="Times New Roman"/>
                <w:lang w:val="en-AU"/>
              </w:rPr>
            </w:pPr>
            <w:r>
              <w:rPr>
                <w:lang w:val="en-AU"/>
              </w:rPr>
              <w:t>5</w:t>
            </w:r>
            <w:r w:rsidR="00215FC5">
              <w:rPr>
                <w:lang w:val="en-AU"/>
              </w:rPr>
              <w:t>81</w:t>
            </w:r>
          </w:p>
        </w:tc>
      </w:tr>
      <w:tr w:rsidR="00AA08BE" w:rsidRPr="00F926BA" w14:paraId="68CACC5E" w14:textId="77777777" w:rsidTr="00AA08BE">
        <w:tc>
          <w:tcPr>
            <w:tcW w:w="3402" w:type="dxa"/>
          </w:tcPr>
          <w:p w14:paraId="550468E3" w14:textId="456F7915" w:rsidR="00AA08BE" w:rsidRPr="00F926BA" w:rsidRDefault="008E17C6" w:rsidP="00AA08BE">
            <w:pPr>
              <w:rPr>
                <w:rFonts w:ascii="Times" w:hAnsi="Times" w:cs="Times New Roman"/>
                <w:lang w:val="en-AU"/>
              </w:rPr>
            </w:pPr>
            <w:r w:rsidRPr="00D3340E">
              <w:rPr>
                <w:lang w:val="en-AU"/>
              </w:rPr>
              <w:t>Western Europe and Others</w:t>
            </w:r>
          </w:p>
        </w:tc>
        <w:tc>
          <w:tcPr>
            <w:tcW w:w="708" w:type="dxa"/>
          </w:tcPr>
          <w:p w14:paraId="2538B2E5" w14:textId="05E982D5" w:rsidR="00AA08BE" w:rsidRPr="00F926BA" w:rsidRDefault="008E17C6" w:rsidP="00215FC5">
            <w:pPr>
              <w:rPr>
                <w:rFonts w:ascii="Times" w:hAnsi="Times" w:cs="Times New Roman"/>
                <w:lang w:val="en-AU"/>
              </w:rPr>
            </w:pPr>
            <w:r w:rsidRPr="00D3340E">
              <w:rPr>
                <w:lang w:val="en-AU"/>
              </w:rPr>
              <w:t>7</w:t>
            </w:r>
            <w:r w:rsidR="00215FC5">
              <w:rPr>
                <w:lang w:val="en-AU"/>
              </w:rPr>
              <w:t>81</w:t>
            </w:r>
          </w:p>
        </w:tc>
        <w:tc>
          <w:tcPr>
            <w:tcW w:w="284" w:type="dxa"/>
          </w:tcPr>
          <w:p w14:paraId="0B33BA49" w14:textId="77777777" w:rsidR="00AA08BE" w:rsidRPr="00F926BA" w:rsidRDefault="00AA08BE" w:rsidP="00AA08BE">
            <w:pPr>
              <w:rPr>
                <w:rFonts w:ascii="Times" w:eastAsia="Times New Roman" w:hAnsi="Times" w:cs="Times New Roman"/>
                <w:sz w:val="1"/>
                <w:lang w:val="en-AU"/>
              </w:rPr>
            </w:pPr>
          </w:p>
        </w:tc>
        <w:tc>
          <w:tcPr>
            <w:tcW w:w="2410" w:type="dxa"/>
          </w:tcPr>
          <w:p w14:paraId="4949AA06" w14:textId="77777777" w:rsidR="00AA08BE" w:rsidRDefault="00AA08BE" w:rsidP="00AA08BE">
            <w:pPr>
              <w:rPr>
                <w:lang w:val="en-AU"/>
              </w:rPr>
            </w:pPr>
            <w:r w:rsidRPr="00D3340E">
              <w:rPr>
                <w:lang w:val="en-AU"/>
              </w:rPr>
              <w:t>Technical</w:t>
            </w:r>
            <w:r w:rsidR="008E17C6">
              <w:rPr>
                <w:lang w:val="en-AU"/>
              </w:rPr>
              <w:t xml:space="preserve"> Community</w:t>
            </w:r>
          </w:p>
          <w:p w14:paraId="5A7E33BF" w14:textId="2A0C719C" w:rsidR="00215FC5" w:rsidRPr="00F926BA" w:rsidRDefault="00215FC5" w:rsidP="00AA08BE">
            <w:pPr>
              <w:rPr>
                <w:rFonts w:ascii="Times" w:hAnsi="Times" w:cs="Times New Roman"/>
                <w:lang w:val="en-AU"/>
              </w:rPr>
            </w:pPr>
            <w:r>
              <w:rPr>
                <w:lang w:val="en-AU"/>
              </w:rPr>
              <w:t>Media</w:t>
            </w:r>
          </w:p>
        </w:tc>
        <w:tc>
          <w:tcPr>
            <w:tcW w:w="2268" w:type="dxa"/>
          </w:tcPr>
          <w:p w14:paraId="3A6F47D0" w14:textId="77777777" w:rsidR="00215FC5" w:rsidRDefault="008E17C6" w:rsidP="00215FC5">
            <w:pPr>
              <w:rPr>
                <w:lang w:val="en-AU"/>
              </w:rPr>
            </w:pPr>
            <w:r>
              <w:rPr>
                <w:lang w:val="en-AU"/>
              </w:rPr>
              <w:t>2</w:t>
            </w:r>
            <w:r w:rsidR="00215FC5">
              <w:rPr>
                <w:lang w:val="en-AU"/>
              </w:rPr>
              <w:t>67</w:t>
            </w:r>
          </w:p>
          <w:p w14:paraId="36940D30" w14:textId="01D6114C" w:rsidR="00215FC5" w:rsidRPr="00215FC5" w:rsidRDefault="00215FC5" w:rsidP="00215FC5">
            <w:pPr>
              <w:rPr>
                <w:lang w:val="en-AU"/>
              </w:rPr>
            </w:pPr>
            <w:r>
              <w:rPr>
                <w:lang w:val="en-AU"/>
              </w:rPr>
              <w:t>111</w:t>
            </w:r>
            <w:bookmarkStart w:id="0" w:name="_GoBack"/>
            <w:bookmarkEnd w:id="0"/>
            <w:r>
              <w:rPr>
                <w:lang w:val="en-AU"/>
              </w:rPr>
              <w:t xml:space="preserve"> </w:t>
            </w:r>
          </w:p>
        </w:tc>
      </w:tr>
      <w:tr w:rsidR="00AA08BE" w:rsidRPr="00F926BA" w14:paraId="20BDF3DD" w14:textId="77777777" w:rsidTr="00AA08BE">
        <w:tc>
          <w:tcPr>
            <w:tcW w:w="3402" w:type="dxa"/>
          </w:tcPr>
          <w:p w14:paraId="470F1B7F" w14:textId="028863F6" w:rsidR="00AA08BE" w:rsidRPr="00F926BA" w:rsidRDefault="00AA08BE" w:rsidP="00AA08BE">
            <w:pPr>
              <w:rPr>
                <w:rFonts w:ascii="Times" w:hAnsi="Times" w:cs="Times New Roman"/>
                <w:lang w:val="en-AU"/>
              </w:rPr>
            </w:pPr>
          </w:p>
        </w:tc>
        <w:tc>
          <w:tcPr>
            <w:tcW w:w="708" w:type="dxa"/>
          </w:tcPr>
          <w:p w14:paraId="299EBFD0" w14:textId="0A9424A1" w:rsidR="00AA08BE" w:rsidRPr="00F926BA" w:rsidRDefault="00AA08BE" w:rsidP="00AA08BE">
            <w:pPr>
              <w:rPr>
                <w:rFonts w:ascii="Times" w:hAnsi="Times" w:cs="Times New Roman"/>
                <w:lang w:val="en-AU"/>
              </w:rPr>
            </w:pPr>
          </w:p>
        </w:tc>
        <w:tc>
          <w:tcPr>
            <w:tcW w:w="284" w:type="dxa"/>
          </w:tcPr>
          <w:p w14:paraId="4A315EE3" w14:textId="77777777" w:rsidR="00AA08BE" w:rsidRPr="00F926BA" w:rsidRDefault="00AA08BE" w:rsidP="00AA08BE">
            <w:pPr>
              <w:rPr>
                <w:rFonts w:ascii="Times" w:eastAsia="Times New Roman" w:hAnsi="Times" w:cs="Times New Roman"/>
                <w:sz w:val="1"/>
                <w:lang w:val="en-AU"/>
              </w:rPr>
            </w:pPr>
          </w:p>
        </w:tc>
        <w:tc>
          <w:tcPr>
            <w:tcW w:w="2410" w:type="dxa"/>
          </w:tcPr>
          <w:p w14:paraId="6311F983" w14:textId="77777777" w:rsidR="00AA08BE" w:rsidRPr="00F926BA" w:rsidRDefault="00AA08BE" w:rsidP="00AA08BE">
            <w:pPr>
              <w:rPr>
                <w:rFonts w:ascii="Times" w:eastAsia="Times New Roman" w:hAnsi="Times" w:cs="Times New Roman"/>
                <w:sz w:val="1"/>
                <w:lang w:val="en-AU"/>
              </w:rPr>
            </w:pPr>
          </w:p>
        </w:tc>
        <w:tc>
          <w:tcPr>
            <w:tcW w:w="2268" w:type="dxa"/>
          </w:tcPr>
          <w:p w14:paraId="439E08A1" w14:textId="77777777" w:rsidR="00AA08BE" w:rsidRPr="00F926BA" w:rsidRDefault="00AA08BE" w:rsidP="00AA08BE">
            <w:pPr>
              <w:rPr>
                <w:rFonts w:ascii="Times" w:eastAsia="Times New Roman" w:hAnsi="Times" w:cs="Times New Roman"/>
                <w:sz w:val="1"/>
                <w:lang w:val="en-AU"/>
              </w:rPr>
            </w:pPr>
          </w:p>
        </w:tc>
      </w:tr>
    </w:tbl>
    <w:p w14:paraId="7F1BF3C3" w14:textId="77777777" w:rsidR="00315D85" w:rsidRDefault="00315D85" w:rsidP="004076B6">
      <w:pPr>
        <w:spacing w:after="240"/>
        <w:rPr>
          <w:rFonts w:ascii="Times" w:eastAsia="Times New Roman" w:hAnsi="Times" w:cs="Times New Roman"/>
          <w:sz w:val="20"/>
          <w:szCs w:val="20"/>
          <w:lang w:val="en-AU"/>
        </w:rPr>
      </w:pPr>
    </w:p>
    <w:p w14:paraId="348EFF7D" w14:textId="77777777" w:rsidR="00401201" w:rsidRDefault="00401201" w:rsidP="00315D85">
      <w:pPr>
        <w:pBdr>
          <w:top w:val="single" w:sz="4" w:space="1" w:color="auto"/>
        </w:pBdr>
        <w:spacing w:after="240"/>
        <w:rPr>
          <w:rFonts w:ascii="Times" w:eastAsia="Times New Roman" w:hAnsi="Times" w:cs="Times New Roman"/>
          <w:sz w:val="20"/>
          <w:szCs w:val="20"/>
          <w:lang w:val="en-AU"/>
        </w:rPr>
      </w:pPr>
    </w:p>
    <w:p w14:paraId="04C94568" w14:textId="77777777" w:rsidR="00361C26" w:rsidRDefault="00361C26" w:rsidP="00315D85">
      <w:pPr>
        <w:pBdr>
          <w:top w:val="single" w:sz="4" w:space="1" w:color="auto"/>
        </w:pBdr>
        <w:spacing w:after="240"/>
        <w:rPr>
          <w:rFonts w:ascii="Times" w:eastAsia="Times New Roman" w:hAnsi="Times" w:cs="Times New Roman"/>
          <w:sz w:val="20"/>
          <w:szCs w:val="20"/>
          <w:lang w:val="en-AU"/>
        </w:rPr>
      </w:pPr>
    </w:p>
    <w:p w14:paraId="6CEC28F6" w14:textId="77777777" w:rsidR="00401201" w:rsidRPr="00041393" w:rsidRDefault="00401201" w:rsidP="00315D85">
      <w:pPr>
        <w:pBdr>
          <w:top w:val="single" w:sz="4" w:space="1" w:color="auto"/>
        </w:pBdr>
        <w:spacing w:after="240"/>
        <w:rPr>
          <w:rFonts w:ascii="Times" w:eastAsia="Times New Roman" w:hAnsi="Times" w:cs="Times New Roman"/>
          <w:sz w:val="20"/>
          <w:szCs w:val="20"/>
          <w:lang w:val="en-AU"/>
        </w:rPr>
      </w:pPr>
    </w:p>
    <w:p w14:paraId="0DE97137" w14:textId="0A853330" w:rsidR="00315D85" w:rsidRPr="00315D85" w:rsidRDefault="00315D85" w:rsidP="00361C26">
      <w:pPr>
        <w:jc w:val="center"/>
        <w:rPr>
          <w:rFonts w:ascii="Times" w:hAnsi="Times" w:cs="Times New Roman"/>
          <w:sz w:val="20"/>
          <w:szCs w:val="20"/>
          <w:lang w:val="en-AU"/>
        </w:rPr>
      </w:pPr>
      <w:r w:rsidRPr="00315D85">
        <w:rPr>
          <w:rFonts w:cs="Times New Roman"/>
          <w:i/>
          <w:iCs/>
          <w:color w:val="000000"/>
          <w:lang w:val="en-AU"/>
        </w:rPr>
        <w:lastRenderedPageBreak/>
        <w:t xml:space="preserve">The full Chair’s Summary of the meeting will be available on the IGF website </w:t>
      </w:r>
      <w:r w:rsidR="00361C26">
        <w:rPr>
          <w:rFonts w:cs="Times New Roman"/>
          <w:i/>
          <w:iCs/>
          <w:color w:val="000000"/>
          <w:lang w:val="en-AU"/>
        </w:rPr>
        <w:t>in the near future</w:t>
      </w:r>
      <w:r w:rsidRPr="00315D85">
        <w:rPr>
          <w:rFonts w:cs="Times New Roman"/>
          <w:i/>
          <w:iCs/>
          <w:color w:val="000000"/>
          <w:lang w:val="en-AU"/>
        </w:rPr>
        <w:t xml:space="preserve">.                </w:t>
      </w:r>
    </w:p>
    <w:sectPr w:rsidR="00315D85" w:rsidRPr="00315D85" w:rsidSect="00041393">
      <w:type w:val="continuous"/>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80"/>
    <w:family w:val="auto"/>
    <w:pitch w:val="variable"/>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EFB"/>
    <w:multiLevelType w:val="multilevel"/>
    <w:tmpl w:val="5A62FB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FF73B3"/>
    <w:multiLevelType w:val="hybridMultilevel"/>
    <w:tmpl w:val="E64CB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62179"/>
    <w:multiLevelType w:val="multilevel"/>
    <w:tmpl w:val="BBBC8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2FE1763"/>
    <w:multiLevelType w:val="multilevel"/>
    <w:tmpl w:val="DCEE5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D001FB8"/>
    <w:multiLevelType w:val="multilevel"/>
    <w:tmpl w:val="FE0A57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7B6566"/>
    <w:multiLevelType w:val="multilevel"/>
    <w:tmpl w:val="6E24C4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BE555AF"/>
    <w:multiLevelType w:val="multilevel"/>
    <w:tmpl w:val="C2F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243EB"/>
    <w:multiLevelType w:val="hybridMultilevel"/>
    <w:tmpl w:val="9F0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B0D94"/>
    <w:multiLevelType w:val="multilevel"/>
    <w:tmpl w:val="560A28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6D28F2"/>
    <w:multiLevelType w:val="multilevel"/>
    <w:tmpl w:val="24F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6420E"/>
    <w:multiLevelType w:val="multilevel"/>
    <w:tmpl w:val="9AD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42556"/>
    <w:multiLevelType w:val="multilevel"/>
    <w:tmpl w:val="37F41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B351404"/>
    <w:multiLevelType w:val="multilevel"/>
    <w:tmpl w:val="5A62FB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0CF048A"/>
    <w:multiLevelType w:val="multilevel"/>
    <w:tmpl w:val="B71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64DFD"/>
    <w:multiLevelType w:val="multilevel"/>
    <w:tmpl w:val="62A243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792A02E1"/>
    <w:multiLevelType w:val="multilevel"/>
    <w:tmpl w:val="22A6A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A525C81"/>
    <w:multiLevelType w:val="multilevel"/>
    <w:tmpl w:val="F828D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3"/>
  </w:num>
  <w:num w:numId="3">
    <w:abstractNumId w:val="6"/>
  </w:num>
  <w:num w:numId="4">
    <w:abstractNumId w:val="10"/>
  </w:num>
  <w:num w:numId="5">
    <w:abstractNumId w:val="16"/>
  </w:num>
  <w:num w:numId="6">
    <w:abstractNumId w:val="2"/>
  </w:num>
  <w:num w:numId="7">
    <w:abstractNumId w:val="4"/>
  </w:num>
  <w:num w:numId="8">
    <w:abstractNumId w:val="5"/>
  </w:num>
  <w:num w:numId="9">
    <w:abstractNumId w:val="11"/>
  </w:num>
  <w:num w:numId="10">
    <w:abstractNumId w:val="15"/>
  </w:num>
  <w:num w:numId="11">
    <w:abstractNumId w:val="0"/>
  </w:num>
  <w:num w:numId="12">
    <w:abstractNumId w:val="1"/>
  </w:num>
  <w:num w:numId="13">
    <w:abstractNumId w:val="7"/>
  </w:num>
  <w:num w:numId="14">
    <w:abstractNumId w:val="12"/>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93"/>
    <w:rsid w:val="00041393"/>
    <w:rsid w:val="000916D1"/>
    <w:rsid w:val="00215FC5"/>
    <w:rsid w:val="00294371"/>
    <w:rsid w:val="00315D85"/>
    <w:rsid w:val="00361C26"/>
    <w:rsid w:val="003A1413"/>
    <w:rsid w:val="00401201"/>
    <w:rsid w:val="004076B6"/>
    <w:rsid w:val="00533162"/>
    <w:rsid w:val="005749D7"/>
    <w:rsid w:val="006F32EB"/>
    <w:rsid w:val="006F7EB3"/>
    <w:rsid w:val="00702B5A"/>
    <w:rsid w:val="007478FA"/>
    <w:rsid w:val="008731CF"/>
    <w:rsid w:val="008E17C6"/>
    <w:rsid w:val="00AA08BE"/>
    <w:rsid w:val="00AE5911"/>
    <w:rsid w:val="00B80E96"/>
    <w:rsid w:val="00B94AA7"/>
    <w:rsid w:val="00BE6BE7"/>
    <w:rsid w:val="00BF5FC1"/>
    <w:rsid w:val="00C73B43"/>
    <w:rsid w:val="00CB1241"/>
    <w:rsid w:val="00D3340E"/>
    <w:rsid w:val="00DA4859"/>
    <w:rsid w:val="00DC4E4C"/>
    <w:rsid w:val="00ED0A82"/>
    <w:rsid w:val="00ED6077"/>
    <w:rsid w:val="00F64DB7"/>
    <w:rsid w:val="00F92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9E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0E"/>
    <w:rPr>
      <w:rFonts w:ascii="Garamond" w:hAnsi="Garamond"/>
    </w:rPr>
  </w:style>
  <w:style w:type="paragraph" w:styleId="Heading1">
    <w:name w:val="heading 1"/>
    <w:basedOn w:val="Normal"/>
    <w:link w:val="Heading1Char"/>
    <w:uiPriority w:val="9"/>
    <w:qFormat/>
    <w:rsid w:val="00AA08BE"/>
    <w:pPr>
      <w:spacing w:before="100" w:beforeAutospacing="1" w:after="100" w:afterAutospacing="1"/>
      <w:jc w:val="center"/>
      <w:outlineLvl w:val="0"/>
    </w:pPr>
    <w:rPr>
      <w:b/>
      <w:bCs/>
      <w:kern w:val="36"/>
      <w:sz w:val="36"/>
      <w:szCs w:val="48"/>
      <w:lang w:val="en-AU"/>
    </w:rPr>
  </w:style>
  <w:style w:type="paragraph" w:styleId="Heading2">
    <w:name w:val="heading 2"/>
    <w:basedOn w:val="Normal"/>
    <w:link w:val="Heading2Char"/>
    <w:uiPriority w:val="9"/>
    <w:qFormat/>
    <w:rsid w:val="00315D85"/>
    <w:pPr>
      <w:spacing w:after="80"/>
      <w:outlineLvl w:val="1"/>
    </w:pPr>
    <w:rPr>
      <w:b/>
      <w:bCs/>
      <w:sz w:val="32"/>
      <w:szCs w:val="36"/>
      <w:lang w:val="en-AU"/>
    </w:rPr>
  </w:style>
  <w:style w:type="paragraph" w:styleId="Heading3">
    <w:name w:val="heading 3"/>
    <w:basedOn w:val="Normal"/>
    <w:next w:val="Normal"/>
    <w:link w:val="Heading3Char"/>
    <w:uiPriority w:val="9"/>
    <w:unhideWhenUsed/>
    <w:qFormat/>
    <w:rsid w:val="003A1413"/>
    <w:pPr>
      <w:keepNext/>
      <w:keepLines/>
      <w:spacing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AA08BE"/>
    <w:rPr>
      <w:rFonts w:ascii="Garamond" w:hAnsi="Garamond"/>
      <w:b/>
      <w:bCs/>
      <w:kern w:val="36"/>
      <w:sz w:val="36"/>
      <w:szCs w:val="48"/>
      <w:lang w:val="en-AU"/>
    </w:rPr>
  </w:style>
  <w:style w:type="character" w:customStyle="1" w:styleId="Heading2Char">
    <w:name w:val="Heading 2 Char"/>
    <w:basedOn w:val="DefaultParagraphFont"/>
    <w:link w:val="Heading2"/>
    <w:uiPriority w:val="9"/>
    <w:rsid w:val="00315D85"/>
    <w:rPr>
      <w:rFonts w:ascii="Garamond" w:hAnsi="Garamond"/>
      <w:b/>
      <w:bCs/>
      <w:sz w:val="32"/>
      <w:szCs w:val="36"/>
      <w:lang w:val="en-AU"/>
    </w:rPr>
  </w:style>
  <w:style w:type="paragraph" w:styleId="NormalWeb">
    <w:name w:val="Normal (Web)"/>
    <w:basedOn w:val="Normal"/>
    <w:uiPriority w:val="99"/>
    <w:unhideWhenUsed/>
    <w:rsid w:val="0004139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041393"/>
    <w:rPr>
      <w:color w:val="0000FF"/>
      <w:u w:val="single"/>
    </w:rPr>
  </w:style>
  <w:style w:type="character" w:customStyle="1" w:styleId="Heading3Char">
    <w:name w:val="Heading 3 Char"/>
    <w:basedOn w:val="DefaultParagraphFont"/>
    <w:link w:val="Heading3"/>
    <w:uiPriority w:val="9"/>
    <w:rsid w:val="003A141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D3340E"/>
    <w:pPr>
      <w:ind w:left="720"/>
      <w:contextualSpacing/>
    </w:pPr>
  </w:style>
  <w:style w:type="table" w:styleId="TableGrid">
    <w:name w:val="Table Grid"/>
    <w:basedOn w:val="TableNormal"/>
    <w:uiPriority w:val="59"/>
    <w:rsid w:val="00F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49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0E"/>
    <w:rPr>
      <w:rFonts w:ascii="Garamond" w:hAnsi="Garamond"/>
    </w:rPr>
  </w:style>
  <w:style w:type="paragraph" w:styleId="Heading1">
    <w:name w:val="heading 1"/>
    <w:basedOn w:val="Normal"/>
    <w:link w:val="Heading1Char"/>
    <w:uiPriority w:val="9"/>
    <w:qFormat/>
    <w:rsid w:val="00AA08BE"/>
    <w:pPr>
      <w:spacing w:before="100" w:beforeAutospacing="1" w:after="100" w:afterAutospacing="1"/>
      <w:jc w:val="center"/>
      <w:outlineLvl w:val="0"/>
    </w:pPr>
    <w:rPr>
      <w:b/>
      <w:bCs/>
      <w:kern w:val="36"/>
      <w:sz w:val="36"/>
      <w:szCs w:val="48"/>
      <w:lang w:val="en-AU"/>
    </w:rPr>
  </w:style>
  <w:style w:type="paragraph" w:styleId="Heading2">
    <w:name w:val="heading 2"/>
    <w:basedOn w:val="Normal"/>
    <w:link w:val="Heading2Char"/>
    <w:uiPriority w:val="9"/>
    <w:qFormat/>
    <w:rsid w:val="00315D85"/>
    <w:pPr>
      <w:spacing w:after="80"/>
      <w:outlineLvl w:val="1"/>
    </w:pPr>
    <w:rPr>
      <w:b/>
      <w:bCs/>
      <w:sz w:val="32"/>
      <w:szCs w:val="36"/>
      <w:lang w:val="en-AU"/>
    </w:rPr>
  </w:style>
  <w:style w:type="paragraph" w:styleId="Heading3">
    <w:name w:val="heading 3"/>
    <w:basedOn w:val="Normal"/>
    <w:next w:val="Normal"/>
    <w:link w:val="Heading3Char"/>
    <w:uiPriority w:val="9"/>
    <w:unhideWhenUsed/>
    <w:qFormat/>
    <w:rsid w:val="003A1413"/>
    <w:pPr>
      <w:keepNext/>
      <w:keepLines/>
      <w:spacing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AA08BE"/>
    <w:rPr>
      <w:rFonts w:ascii="Garamond" w:hAnsi="Garamond"/>
      <w:b/>
      <w:bCs/>
      <w:kern w:val="36"/>
      <w:sz w:val="36"/>
      <w:szCs w:val="48"/>
      <w:lang w:val="en-AU"/>
    </w:rPr>
  </w:style>
  <w:style w:type="character" w:customStyle="1" w:styleId="Heading2Char">
    <w:name w:val="Heading 2 Char"/>
    <w:basedOn w:val="DefaultParagraphFont"/>
    <w:link w:val="Heading2"/>
    <w:uiPriority w:val="9"/>
    <w:rsid w:val="00315D85"/>
    <w:rPr>
      <w:rFonts w:ascii="Garamond" w:hAnsi="Garamond"/>
      <w:b/>
      <w:bCs/>
      <w:sz w:val="32"/>
      <w:szCs w:val="36"/>
      <w:lang w:val="en-AU"/>
    </w:rPr>
  </w:style>
  <w:style w:type="paragraph" w:styleId="NormalWeb">
    <w:name w:val="Normal (Web)"/>
    <w:basedOn w:val="Normal"/>
    <w:uiPriority w:val="99"/>
    <w:unhideWhenUsed/>
    <w:rsid w:val="0004139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041393"/>
    <w:rPr>
      <w:color w:val="0000FF"/>
      <w:u w:val="single"/>
    </w:rPr>
  </w:style>
  <w:style w:type="character" w:customStyle="1" w:styleId="Heading3Char">
    <w:name w:val="Heading 3 Char"/>
    <w:basedOn w:val="DefaultParagraphFont"/>
    <w:link w:val="Heading3"/>
    <w:uiPriority w:val="9"/>
    <w:rsid w:val="003A141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D3340E"/>
    <w:pPr>
      <w:ind w:left="720"/>
      <w:contextualSpacing/>
    </w:pPr>
  </w:style>
  <w:style w:type="table" w:styleId="TableGrid">
    <w:name w:val="Table Grid"/>
    <w:basedOn w:val="TableNormal"/>
    <w:uiPriority w:val="59"/>
    <w:rsid w:val="00F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4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6437">
      <w:bodyDiv w:val="1"/>
      <w:marLeft w:val="0"/>
      <w:marRight w:val="0"/>
      <w:marTop w:val="0"/>
      <w:marBottom w:val="0"/>
      <w:divBdr>
        <w:top w:val="none" w:sz="0" w:space="0" w:color="auto"/>
        <w:left w:val="none" w:sz="0" w:space="0" w:color="auto"/>
        <w:bottom w:val="none" w:sz="0" w:space="0" w:color="auto"/>
        <w:right w:val="none" w:sz="0" w:space="0" w:color="auto"/>
      </w:divBdr>
    </w:div>
    <w:div w:id="418909590">
      <w:bodyDiv w:val="1"/>
      <w:marLeft w:val="0"/>
      <w:marRight w:val="0"/>
      <w:marTop w:val="0"/>
      <w:marBottom w:val="0"/>
      <w:divBdr>
        <w:top w:val="none" w:sz="0" w:space="0" w:color="auto"/>
        <w:left w:val="none" w:sz="0" w:space="0" w:color="auto"/>
        <w:bottom w:val="none" w:sz="0" w:space="0" w:color="auto"/>
        <w:right w:val="none" w:sz="0" w:space="0" w:color="auto"/>
      </w:divBdr>
    </w:div>
    <w:div w:id="711149077">
      <w:bodyDiv w:val="1"/>
      <w:marLeft w:val="0"/>
      <w:marRight w:val="0"/>
      <w:marTop w:val="0"/>
      <w:marBottom w:val="0"/>
      <w:divBdr>
        <w:top w:val="none" w:sz="0" w:space="0" w:color="auto"/>
        <w:left w:val="none" w:sz="0" w:space="0" w:color="auto"/>
        <w:bottom w:val="none" w:sz="0" w:space="0" w:color="auto"/>
        <w:right w:val="none" w:sz="0" w:space="0" w:color="auto"/>
      </w:divBdr>
    </w:div>
    <w:div w:id="1246256993">
      <w:bodyDiv w:val="1"/>
      <w:marLeft w:val="0"/>
      <w:marRight w:val="0"/>
      <w:marTop w:val="0"/>
      <w:marBottom w:val="0"/>
      <w:divBdr>
        <w:top w:val="none" w:sz="0" w:space="0" w:color="auto"/>
        <w:left w:val="none" w:sz="0" w:space="0" w:color="auto"/>
        <w:bottom w:val="none" w:sz="0" w:space="0" w:color="auto"/>
        <w:right w:val="none" w:sz="0" w:space="0" w:color="auto"/>
      </w:divBdr>
    </w:div>
    <w:div w:id="1566990360">
      <w:bodyDiv w:val="1"/>
      <w:marLeft w:val="0"/>
      <w:marRight w:val="0"/>
      <w:marTop w:val="0"/>
      <w:marBottom w:val="0"/>
      <w:divBdr>
        <w:top w:val="none" w:sz="0" w:space="0" w:color="auto"/>
        <w:left w:val="none" w:sz="0" w:space="0" w:color="auto"/>
        <w:bottom w:val="none" w:sz="0" w:space="0" w:color="auto"/>
        <w:right w:val="none" w:sz="0" w:space="0" w:color="auto"/>
      </w:divBdr>
    </w:div>
    <w:div w:id="1665548900">
      <w:bodyDiv w:val="1"/>
      <w:marLeft w:val="0"/>
      <w:marRight w:val="0"/>
      <w:marTop w:val="0"/>
      <w:marBottom w:val="0"/>
      <w:divBdr>
        <w:top w:val="none" w:sz="0" w:space="0" w:color="auto"/>
        <w:left w:val="none" w:sz="0" w:space="0" w:color="auto"/>
        <w:bottom w:val="none" w:sz="0" w:space="0" w:color="auto"/>
        <w:right w:val="none" w:sz="0" w:space="0" w:color="auto"/>
      </w:divBdr>
    </w:div>
    <w:div w:id="1720204430">
      <w:bodyDiv w:val="1"/>
      <w:marLeft w:val="0"/>
      <w:marRight w:val="0"/>
      <w:marTop w:val="0"/>
      <w:marBottom w:val="0"/>
      <w:divBdr>
        <w:top w:val="none" w:sz="0" w:space="0" w:color="auto"/>
        <w:left w:val="none" w:sz="0" w:space="0" w:color="auto"/>
        <w:bottom w:val="none" w:sz="0" w:space="0" w:color="auto"/>
        <w:right w:val="none" w:sz="0" w:space="0" w:color="auto"/>
      </w:divBdr>
    </w:div>
    <w:div w:id="1748960653">
      <w:bodyDiv w:val="1"/>
      <w:marLeft w:val="0"/>
      <w:marRight w:val="0"/>
      <w:marTop w:val="0"/>
      <w:marBottom w:val="0"/>
      <w:divBdr>
        <w:top w:val="none" w:sz="0" w:space="0" w:color="auto"/>
        <w:left w:val="none" w:sz="0" w:space="0" w:color="auto"/>
        <w:bottom w:val="none" w:sz="0" w:space="0" w:color="auto"/>
        <w:right w:val="none" w:sz="0" w:space="0" w:color="auto"/>
      </w:divBdr>
    </w:div>
    <w:div w:id="2008902999">
      <w:bodyDiv w:val="1"/>
      <w:marLeft w:val="0"/>
      <w:marRight w:val="0"/>
      <w:marTop w:val="0"/>
      <w:marBottom w:val="0"/>
      <w:divBdr>
        <w:top w:val="none" w:sz="0" w:space="0" w:color="auto"/>
        <w:left w:val="none" w:sz="0" w:space="0" w:color="auto"/>
        <w:bottom w:val="none" w:sz="0" w:space="0" w:color="auto"/>
        <w:right w:val="none" w:sz="0" w:space="0" w:color="auto"/>
      </w:divBdr>
      <w:divsChild>
        <w:div w:id="16171316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unctad.org/en/Pages/CSTD/WSIS-10yearReview.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igfs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cop/Pages/guidelin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asc.upenn.edu/publications/beyond-netmundial-the-roadmap-for-institutional-improvements-to-the-global-internet-governance-ecosystem/" TargetMode="External"/><Relationship Id="rId5" Type="http://schemas.openxmlformats.org/officeDocument/2006/relationships/settings" Target="settings.xml"/><Relationship Id="rId15" Type="http://schemas.openxmlformats.org/officeDocument/2006/relationships/hyperlink" Target="http://africaninternetrights.org" TargetMode="External"/><Relationship Id="rId10" Type="http://schemas.openxmlformats.org/officeDocument/2006/relationships/hyperlink" Target="http://review.intgovforum.org/igf2014" TargetMode="External"/><Relationship Id="rId4" Type="http://schemas.microsoft.com/office/2007/relationships/stylesWithEffects" Target="stylesWithEffects.xml"/><Relationship Id="rId9" Type="http://schemas.openxmlformats.org/officeDocument/2006/relationships/hyperlink" Target="http://igfcontinuation.org" TargetMode="External"/><Relationship Id="rId14" Type="http://schemas.openxmlformats.org/officeDocument/2006/relationships/hyperlink" Target="http://www.unesco.org/new/en/communication-and-information/crosscutting-priorities/unesco-interne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FA51-021D-417C-A1F7-6FC99B00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Dickinson</dc:creator>
  <cp:lastModifiedBy>TELEANU</cp:lastModifiedBy>
  <cp:revision>2</cp:revision>
  <dcterms:created xsi:type="dcterms:W3CDTF">2014-09-12T12:47:00Z</dcterms:created>
  <dcterms:modified xsi:type="dcterms:W3CDTF">2014-09-12T12:47:00Z</dcterms:modified>
</cp:coreProperties>
</file>